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3456" w:rsidRDefault="00D23456" w:rsidP="00D23456">
      <w:proofErr w:type="gramStart"/>
      <w:r>
        <w:t xml:space="preserve">1. </w:t>
      </w:r>
      <w:proofErr w:type="spellStart"/>
      <w:r>
        <w:t>Biochem</w:t>
      </w:r>
      <w:proofErr w:type="spellEnd"/>
      <w:r>
        <w:t xml:space="preserve"> </w:t>
      </w:r>
      <w:proofErr w:type="spellStart"/>
      <w:r>
        <w:t>Biophys</w:t>
      </w:r>
      <w:proofErr w:type="spellEnd"/>
      <w:r>
        <w:t xml:space="preserve"> Res </w:t>
      </w:r>
      <w:proofErr w:type="spellStart"/>
      <w:r>
        <w:t>Commun</w:t>
      </w:r>
      <w:proofErr w:type="spellEnd"/>
      <w:r>
        <w:t>.</w:t>
      </w:r>
      <w:proofErr w:type="gramEnd"/>
      <w:r>
        <w:t xml:space="preserve"> 2016 Apr 8</w:t>
      </w:r>
      <w:proofErr w:type="gramStart"/>
      <w:r>
        <w:t>;472</w:t>
      </w:r>
      <w:proofErr w:type="gramEnd"/>
      <w:r>
        <w:t xml:space="preserve">(3):401-9. </w:t>
      </w:r>
    </w:p>
    <w:p w:rsidR="00D23456" w:rsidRPr="00D23456" w:rsidRDefault="00D23456" w:rsidP="00D23456">
      <w:pPr>
        <w:rPr>
          <w:b/>
        </w:rPr>
      </w:pPr>
      <w:r w:rsidRPr="00D23456">
        <w:rPr>
          <w:b/>
        </w:rPr>
        <w:t>Current perspectives of molecular pathways involved in chronic</w:t>
      </w:r>
      <w:r>
        <w:rPr>
          <w:b/>
        </w:rPr>
        <w:t xml:space="preserve"> </w:t>
      </w:r>
      <w:r w:rsidRPr="00D23456">
        <w:rPr>
          <w:b/>
        </w:rPr>
        <w:t>inflammation-mediated breast cancer.</w:t>
      </w:r>
    </w:p>
    <w:p w:rsidR="00D23456" w:rsidRDefault="00D23456" w:rsidP="00D23456">
      <w:r>
        <w:t>Suman S</w:t>
      </w:r>
      <w:r>
        <w:t>, Sharma PK</w:t>
      </w:r>
      <w:r>
        <w:t xml:space="preserve">, Mishra </w:t>
      </w:r>
    </w:p>
    <w:p w:rsidR="00D23456" w:rsidRDefault="00D23456" w:rsidP="00D23456">
      <w:r>
        <w:t xml:space="preserve">Author information: Proteomics &amp; Environmental Carcinogenesis Laboratory, Food, Drug and Chemical </w:t>
      </w:r>
    </w:p>
    <w:p w:rsidR="00D23456" w:rsidRDefault="00D23456" w:rsidP="00D23456">
      <w:r>
        <w:t>Toxicology Group, CSIR-Indian Institute of Toxicology Research, Mahatma Gandhi</w:t>
      </w:r>
      <w:r>
        <w:t xml:space="preserve"> </w:t>
      </w:r>
      <w:r>
        <w:t xml:space="preserve">Marg, India; </w:t>
      </w:r>
    </w:p>
    <w:p w:rsidR="00D23456" w:rsidRDefault="00D23456" w:rsidP="00D23456"/>
    <w:p w:rsidR="00D23456" w:rsidRDefault="00D23456" w:rsidP="00D23456">
      <w:r>
        <w:t>Inflammation has multifaceted role in cancer progression including initiation,</w:t>
      </w:r>
      <w:r>
        <w:t xml:space="preserve"> </w:t>
      </w:r>
      <w:r>
        <w:t>promotion and invasion by affecting the immune surveillance and associated</w:t>
      </w:r>
      <w:r>
        <w:t xml:space="preserve"> </w:t>
      </w:r>
      <w:r>
        <w:t>signaling pathways. Inflammation facilitates the over-expression of cytokines,</w:t>
      </w:r>
      <w:r>
        <w:t xml:space="preserve"> </w:t>
      </w:r>
      <w:r>
        <w:t>chemokines and growth factors involved in progression of different cancers</w:t>
      </w:r>
    </w:p>
    <w:p w:rsidR="00D23456" w:rsidRDefault="00D23456" w:rsidP="00D23456">
      <w:proofErr w:type="gramStart"/>
      <w:r>
        <w:t>including</w:t>
      </w:r>
      <w:proofErr w:type="gramEnd"/>
      <w:r>
        <w:t xml:space="preserve"> breast cancer progression. Deregulation of biological processes such as</w:t>
      </w:r>
      <w:r>
        <w:t xml:space="preserve"> </w:t>
      </w:r>
      <w:r>
        <w:t>oxidative stress, angiogenesis, and autophagy elicit favorable immune response</w:t>
      </w:r>
      <w:r>
        <w:t xml:space="preserve"> </w:t>
      </w:r>
      <w:r>
        <w:t>towards chronic inflammation. Apart from the role in carcinogenesis, chronic</w:t>
      </w:r>
      <w:r>
        <w:t xml:space="preserve"> </w:t>
      </w:r>
      <w:r>
        <w:t xml:space="preserve">inflammation also favors the emergence of drug resistance clones by inducing the </w:t>
      </w:r>
    </w:p>
    <w:p w:rsidR="00D23456" w:rsidRDefault="00D23456" w:rsidP="00D23456">
      <w:proofErr w:type="gramStart"/>
      <w:r>
        <w:t>growth</w:t>
      </w:r>
      <w:proofErr w:type="gramEnd"/>
      <w:r>
        <w:t xml:space="preserve"> of breast cancer stem-like cells. Immunomodulation mediated by cytokines, chemokines and several other growth factors present in the tumor microenvironment</w:t>
      </w:r>
      <w:r>
        <w:t xml:space="preserve"> </w:t>
      </w:r>
      <w:r>
        <w:t>regulate chronic inflammatory response and alter crosstalk among various</w:t>
      </w:r>
      <w:r>
        <w:t xml:space="preserve"> </w:t>
      </w:r>
      <w:r>
        <w:t>signaling pathways such as NF-</w:t>
      </w:r>
      <w:proofErr w:type="spellStart"/>
      <w:r>
        <w:t>κB</w:t>
      </w:r>
      <w:proofErr w:type="spellEnd"/>
      <w:r>
        <w:t xml:space="preserve">, Nrf-2, JAK-STAT, </w:t>
      </w:r>
      <w:proofErr w:type="spellStart"/>
      <w:r>
        <w:t>Akt</w:t>
      </w:r>
      <w:proofErr w:type="spellEnd"/>
      <w:r>
        <w:t xml:space="preserve"> and MAPKs involved in the progression of breast cancer. In this review, we focused on cellular and</w:t>
      </w:r>
      <w:r>
        <w:t xml:space="preserve"> </w:t>
      </w:r>
      <w:r>
        <w:t>molecular processes involved in chronic inflammation, crosstalk among different</w:t>
      </w:r>
      <w:r>
        <w:t xml:space="preserve"> </w:t>
      </w:r>
      <w:r>
        <w:t>signaling pathways and their association in breast cancer pathogenesis.</w:t>
      </w:r>
      <w:r>
        <w:t xml:space="preserve"> PMID: 26522220  </w:t>
      </w:r>
    </w:p>
    <w:p w:rsidR="00D23456" w:rsidRDefault="00D23456" w:rsidP="00D23456"/>
    <w:p w:rsidR="00D23456" w:rsidRDefault="00D23456" w:rsidP="00D23456"/>
    <w:p w:rsidR="00D23456" w:rsidRDefault="00D23456" w:rsidP="00D23456">
      <w:r>
        <w:t xml:space="preserve">2. J Mammary Gland </w:t>
      </w:r>
      <w:proofErr w:type="spellStart"/>
      <w:r>
        <w:t>Biol</w:t>
      </w:r>
      <w:proofErr w:type="spellEnd"/>
      <w:r>
        <w:t xml:space="preserve"> Neoplasia. 2015 Dec</w:t>
      </w:r>
      <w:proofErr w:type="gramStart"/>
      <w:r>
        <w:t>;20</w:t>
      </w:r>
      <w:proofErr w:type="gramEnd"/>
      <w:r>
        <w:t xml:space="preserve">(3-4):109-19. </w:t>
      </w:r>
    </w:p>
    <w:p w:rsidR="00D23456" w:rsidRPr="00D23456" w:rsidRDefault="00D23456" w:rsidP="00D23456">
      <w:pPr>
        <w:rPr>
          <w:b/>
        </w:rPr>
      </w:pPr>
      <w:proofErr w:type="gramStart"/>
      <w:r w:rsidRPr="00D23456">
        <w:rPr>
          <w:b/>
        </w:rPr>
        <w:t>New Insights on COX-2 in Chronic Inflammation Driving Breast Cancer Growth and</w:t>
      </w:r>
      <w:r>
        <w:rPr>
          <w:b/>
        </w:rPr>
        <w:t xml:space="preserve"> </w:t>
      </w:r>
      <w:r w:rsidRPr="00D23456">
        <w:rPr>
          <w:b/>
        </w:rPr>
        <w:t>Metastasis.</w:t>
      </w:r>
      <w:proofErr w:type="gramEnd"/>
    </w:p>
    <w:p w:rsidR="00D23456" w:rsidRDefault="00D23456" w:rsidP="00D23456">
      <w:r>
        <w:t>Hugo HJ</w:t>
      </w:r>
      <w:r>
        <w:t>, Saunders C</w:t>
      </w:r>
      <w:r>
        <w:t>, Ramsay RG</w:t>
      </w:r>
      <w:r>
        <w:t>, Thompson EW</w:t>
      </w:r>
    </w:p>
    <w:p w:rsidR="00D23456" w:rsidRDefault="00D23456" w:rsidP="00D23456">
      <w:r>
        <w:t>Author information: VBCRC Invasion and Metastasis Unit, St Vincent's Institute, Fitzroy, VIC,</w:t>
      </w:r>
    </w:p>
    <w:p w:rsidR="00D23456" w:rsidRDefault="00D23456" w:rsidP="00D23456">
      <w:r>
        <w:t xml:space="preserve">Australia. </w:t>
      </w:r>
    </w:p>
    <w:p w:rsidR="00D23456" w:rsidRDefault="00D23456" w:rsidP="00D23456"/>
    <w:p w:rsidR="00D23456" w:rsidRDefault="00D23456" w:rsidP="00D23456">
      <w:r>
        <w:t>The medicinal use of aspirin stretches back to ancient times, before it was</w:t>
      </w:r>
      <w:r>
        <w:t xml:space="preserve"> </w:t>
      </w:r>
      <w:r>
        <w:t>manufactured in its pure form in the late 19th century. Its accepted mechanistic target, cyclooxygenase (COX), was discovered in the 1970s and since this landmark</w:t>
      </w:r>
      <w:r>
        <w:t xml:space="preserve"> </w:t>
      </w:r>
      <w:proofErr w:type="gramStart"/>
      <w:r>
        <w:t>discovery,</w:t>
      </w:r>
      <w:proofErr w:type="gramEnd"/>
      <w:r>
        <w:t xml:space="preserve"> the therapeutic application of aspirin and other non-steroidal</w:t>
      </w:r>
      <w:r>
        <w:t xml:space="preserve"> </w:t>
      </w:r>
      <w:r>
        <w:t>anti-inflammatory drugs (NSAIDs) has increased dramatically. The most significant</w:t>
      </w:r>
      <w:r>
        <w:t xml:space="preserve"> </w:t>
      </w:r>
      <w:r>
        <w:t>benefits of NSAIDs are in conditions involving chronic inflammation (CI). Given</w:t>
      </w:r>
      <w:r>
        <w:t xml:space="preserve"> </w:t>
      </w:r>
      <w:r>
        <w:t>the recognized role of CI in cancer development, the use of long-term NSAID</w:t>
      </w:r>
      <w:r>
        <w:t xml:space="preserve"> </w:t>
      </w:r>
      <w:r>
        <w:t>treatment in the prevention of cancer is an enticing possibility. COX-2 is a key</w:t>
      </w:r>
      <w:r>
        <w:t xml:space="preserve"> </w:t>
      </w:r>
      <w:r>
        <w:t>driver of CI, and here we review COX-2 expression as a predictor of survival in</w:t>
      </w:r>
      <w:r>
        <w:t xml:space="preserve"> </w:t>
      </w:r>
      <w:r>
        <w:t>various cancer types, including breast. Obesity and post-partum involution are</w:t>
      </w:r>
      <w:r>
        <w:t xml:space="preserve"> </w:t>
      </w:r>
      <w:r>
        <w:t>natural inflammatory states that are associated with increased breast cancer</w:t>
      </w:r>
    </w:p>
    <w:p w:rsidR="00D23456" w:rsidRDefault="00D23456" w:rsidP="00D23456">
      <w:proofErr w:type="gramStart"/>
      <w:r>
        <w:t>risk</w:t>
      </w:r>
      <w:proofErr w:type="gramEnd"/>
      <w:r>
        <w:t>. We outline the COX-2 mediated mechanisms contributing to the growth of</w:t>
      </w:r>
      <w:r>
        <w:t xml:space="preserve"> </w:t>
      </w:r>
      <w:r>
        <w:t>cancers. We dissect the cellular mechanism of epithelial-mesenchymal transition</w:t>
      </w:r>
      <w:r>
        <w:t xml:space="preserve"> </w:t>
      </w:r>
      <w:r>
        <w:t>(EMT) and how COX-2 may induce this to facilitate tumor progression. Finally we</w:t>
      </w:r>
      <w:r>
        <w:t xml:space="preserve"> </w:t>
      </w:r>
      <w:r>
        <w:t>examine the potential regulation of COX-2 by c-</w:t>
      </w:r>
      <w:proofErr w:type="spellStart"/>
      <w:r>
        <w:t>Myb</w:t>
      </w:r>
      <w:proofErr w:type="spellEnd"/>
      <w:r>
        <w:t>, and the possible interplay</w:t>
      </w:r>
    </w:p>
    <w:p w:rsidR="00D23456" w:rsidRDefault="00D23456" w:rsidP="00D23456">
      <w:proofErr w:type="gramStart"/>
      <w:r>
        <w:t>between</w:t>
      </w:r>
      <w:proofErr w:type="gramEnd"/>
      <w:r>
        <w:t xml:space="preserve"> c-</w:t>
      </w:r>
      <w:proofErr w:type="spellStart"/>
      <w:r>
        <w:t>Myb</w:t>
      </w:r>
      <w:proofErr w:type="spellEnd"/>
      <w:r>
        <w:t>/COX-2 in proliferation, and hypoxia inducible factor-1 alpha</w:t>
      </w:r>
      <w:r>
        <w:t xml:space="preserve"> </w:t>
      </w:r>
      <w:r>
        <w:t>(HIF1α)/COX-2 in invasive pathways in breast cancer.</w:t>
      </w:r>
      <w:r>
        <w:t xml:space="preserve">  PMID: 26193871  </w:t>
      </w:r>
    </w:p>
    <w:p w:rsidR="00D23456" w:rsidRDefault="00D23456" w:rsidP="00D23456"/>
    <w:p w:rsidR="00D23456" w:rsidRDefault="00D23456" w:rsidP="00D23456"/>
    <w:p w:rsidR="00D23456" w:rsidRDefault="00D23456" w:rsidP="00D23456">
      <w:r>
        <w:t xml:space="preserve">3. Cancer </w:t>
      </w:r>
      <w:proofErr w:type="spellStart"/>
      <w:r>
        <w:t>Epidemiol</w:t>
      </w:r>
      <w:proofErr w:type="spellEnd"/>
      <w:r>
        <w:t xml:space="preserve"> Biomarkers Prev. 2015 Oct</w:t>
      </w:r>
      <w:proofErr w:type="gramStart"/>
      <w:r>
        <w:t>;24</w:t>
      </w:r>
      <w:proofErr w:type="gramEnd"/>
      <w:r>
        <w:t>(10):1439-49.</w:t>
      </w:r>
    </w:p>
    <w:p w:rsidR="00D23456" w:rsidRDefault="00D23456" w:rsidP="00D23456">
      <w:r w:rsidRPr="00D23456">
        <w:rPr>
          <w:b/>
        </w:rPr>
        <w:t xml:space="preserve">Circulating </w:t>
      </w:r>
      <w:proofErr w:type="gramStart"/>
      <w:r w:rsidRPr="00D23456">
        <w:rPr>
          <w:b/>
        </w:rPr>
        <w:t>C-Reactive Protein</w:t>
      </w:r>
      <w:proofErr w:type="gramEnd"/>
      <w:r w:rsidRPr="00D23456">
        <w:rPr>
          <w:b/>
        </w:rPr>
        <w:t xml:space="preserve"> and Breast Cancer Risk-Systematic Literature</w:t>
      </w:r>
      <w:r>
        <w:rPr>
          <w:b/>
        </w:rPr>
        <w:t xml:space="preserve"> </w:t>
      </w:r>
      <w:r w:rsidRPr="00D23456">
        <w:rPr>
          <w:b/>
        </w:rPr>
        <w:t>Review and Meta-analysis of Prospective Cohort Studies.</w:t>
      </w:r>
      <w:r>
        <w:rPr>
          <w:b/>
        </w:rPr>
        <w:t xml:space="preserve"> </w:t>
      </w:r>
      <w:r>
        <w:t xml:space="preserve">Chan DS, Bandera EV, Greenwood DC, </w:t>
      </w:r>
      <w:proofErr w:type="spellStart"/>
      <w:r>
        <w:t>Norat</w:t>
      </w:r>
      <w:proofErr w:type="spellEnd"/>
      <w:r>
        <w:t xml:space="preserve"> T</w:t>
      </w:r>
    </w:p>
    <w:p w:rsidR="00D23456" w:rsidRDefault="00D23456" w:rsidP="00D23456">
      <w:r>
        <w:t>Author information: Imperial College Lo</w:t>
      </w:r>
      <w:r>
        <w:t xml:space="preserve">ndon </w:t>
      </w:r>
    </w:p>
    <w:p w:rsidR="00D23456" w:rsidRDefault="00D23456" w:rsidP="00D23456"/>
    <w:p w:rsidR="00D23456" w:rsidRDefault="00D23456" w:rsidP="00D23456">
      <w:r>
        <w:t>We conducted a systematic literature review to explore the association between</w:t>
      </w:r>
      <w:r>
        <w:t xml:space="preserve"> </w:t>
      </w:r>
      <w:r>
        <w:t>circulating C-reactive protein (CRP), a low-grade inflammation biomarker, and</w:t>
      </w:r>
      <w:r>
        <w:t xml:space="preserve"> </w:t>
      </w:r>
      <w:r>
        <w:t>breast cancer risk. Relevant prospective studies in women were identified in</w:t>
      </w:r>
      <w:r>
        <w:t xml:space="preserve"> </w:t>
      </w:r>
      <w:r>
        <w:t>PubMed and Web of Science until February 2015. Random-effects dose-response</w:t>
      </w:r>
    </w:p>
    <w:p w:rsidR="00D23456" w:rsidRDefault="00D23456" w:rsidP="00D23456">
      <w:proofErr w:type="gramStart"/>
      <w:r>
        <w:t>meta-analysis</w:t>
      </w:r>
      <w:proofErr w:type="gramEnd"/>
      <w:r>
        <w:t xml:space="preserve"> was conducted, overall and in postmenopausal women. Twelve out of</w:t>
      </w:r>
      <w:r>
        <w:t xml:space="preserve"> </w:t>
      </w:r>
      <w:r>
        <w:t>15 studies identified were included in the meta-analysis on any breast cancers</w:t>
      </w:r>
      <w:r>
        <w:t xml:space="preserve"> </w:t>
      </w:r>
      <w:r>
        <w:t>(3,522 cases; 69,610 women) and nine on postmenopausal breast cancer (2,516</w:t>
      </w:r>
      <w:r>
        <w:t xml:space="preserve"> </w:t>
      </w:r>
      <w:r>
        <w:t>cases; 36,847 women). For each doubling of CRP concentration, a 7% [95%</w:t>
      </w:r>
    </w:p>
    <w:p w:rsidR="00D23456" w:rsidRDefault="00D23456" w:rsidP="00D23456">
      <w:proofErr w:type="gramStart"/>
      <w:r>
        <w:lastRenderedPageBreak/>
        <w:t>confidence</w:t>
      </w:r>
      <w:proofErr w:type="gramEnd"/>
      <w:r>
        <w:t xml:space="preserve"> interval (CI), 2%-12%] and 6% (95% CI, 1%-11%) increased risk was</w:t>
      </w:r>
      <w:r>
        <w:t xml:space="preserve"> </w:t>
      </w:r>
      <w:r>
        <w:t xml:space="preserve">observed (I(2) = 47% and 32%; </w:t>
      </w:r>
      <w:proofErr w:type="spellStart"/>
      <w:r>
        <w:t>Pheterogeneity</w:t>
      </w:r>
      <w:proofErr w:type="spellEnd"/>
      <w:r>
        <w:t xml:space="preserve"> = 0.04 and 0.17), respectively. The association was linear over most of the range of CRP concentrations. Positive</w:t>
      </w:r>
      <w:r>
        <w:t xml:space="preserve"> </w:t>
      </w:r>
      <w:r>
        <w:t>associations remained in the studies that examined the exclusion of early years</w:t>
      </w:r>
    </w:p>
    <w:p w:rsidR="00D23456" w:rsidRDefault="00D23456" w:rsidP="00D23456">
      <w:proofErr w:type="gramStart"/>
      <w:r>
        <w:t>of</w:t>
      </w:r>
      <w:proofErr w:type="gramEnd"/>
      <w:r>
        <w:t xml:space="preserve"> follow-up. Associations were attenuated in studies adjusted for lifestyle</w:t>
      </w:r>
      <w:r>
        <w:t xml:space="preserve"> </w:t>
      </w:r>
      <w:r>
        <w:t>factors, which partly explained the significant heterogeneity between studies in the overall analysis. On average, the associations in studies adjusted or not</w:t>
      </w:r>
      <w:r>
        <w:t xml:space="preserve"> </w:t>
      </w:r>
      <w:r>
        <w:t>adjusted for body mass index were similar. Low-grade inflammation may have a role</w:t>
      </w:r>
    </w:p>
    <w:p w:rsidR="00D23456" w:rsidRDefault="00D23456" w:rsidP="00D23456">
      <w:proofErr w:type="gramStart"/>
      <w:r>
        <w:t>in</w:t>
      </w:r>
      <w:proofErr w:type="gramEnd"/>
      <w:r>
        <w:t xml:space="preserve"> breast cancer development. Additional prospective studies are needed to better</w:t>
      </w:r>
      <w:r>
        <w:t xml:space="preserve"> </w:t>
      </w:r>
      <w:r>
        <w:t>understand confounding and effect modification from lifestyle factors.</w:t>
      </w:r>
      <w:r>
        <w:t xml:space="preserve"> PMID: 26224798  </w:t>
      </w:r>
    </w:p>
    <w:p w:rsidR="00D23456" w:rsidRDefault="00D23456" w:rsidP="00D23456"/>
    <w:p w:rsidR="00D23456" w:rsidRDefault="00D23456" w:rsidP="00D23456"/>
    <w:p w:rsidR="00D23456" w:rsidRDefault="00D23456" w:rsidP="00D23456">
      <w:r>
        <w:t>4. Carcinogenesis. 2015 Oct</w:t>
      </w:r>
      <w:proofErr w:type="gramStart"/>
      <w:r>
        <w:t>;36</w:t>
      </w:r>
      <w:proofErr w:type="gramEnd"/>
      <w:r>
        <w:t xml:space="preserve">(10):1121-8. </w:t>
      </w:r>
    </w:p>
    <w:p w:rsidR="00D23456" w:rsidRDefault="00D23456" w:rsidP="00D23456">
      <w:proofErr w:type="spellStart"/>
      <w:r w:rsidRPr="00D23456">
        <w:rPr>
          <w:b/>
        </w:rPr>
        <w:t>Prediagnostic</w:t>
      </w:r>
      <w:proofErr w:type="spellEnd"/>
      <w:r w:rsidRPr="00D23456">
        <w:rPr>
          <w:b/>
        </w:rPr>
        <w:t xml:space="preserve"> serum inflammatory markers in relation to breast cancer risk,</w:t>
      </w:r>
      <w:r>
        <w:rPr>
          <w:b/>
        </w:rPr>
        <w:t xml:space="preserve"> </w:t>
      </w:r>
      <w:r w:rsidRPr="00D23456">
        <w:rPr>
          <w:b/>
        </w:rPr>
        <w:t>severity at diagnosis and survival in breast cancer patients.</w:t>
      </w:r>
      <w:r>
        <w:rPr>
          <w:b/>
        </w:rPr>
        <w:t xml:space="preserve"> </w:t>
      </w:r>
      <w:proofErr w:type="spellStart"/>
      <w:r>
        <w:t>Wulaningsih</w:t>
      </w:r>
      <w:proofErr w:type="spellEnd"/>
      <w:r>
        <w:t xml:space="preserve"> W, Holmberg L</w:t>
      </w:r>
      <w:r>
        <w:t xml:space="preserve">, </w:t>
      </w:r>
      <w:proofErr w:type="spellStart"/>
      <w:r>
        <w:t>Garmo</w:t>
      </w:r>
      <w:proofErr w:type="spellEnd"/>
      <w:r>
        <w:t xml:space="preserve"> H</w:t>
      </w:r>
      <w:r>
        <w:t xml:space="preserve">, </w:t>
      </w:r>
      <w:proofErr w:type="spellStart"/>
      <w:r>
        <w:t>Malmstrom</w:t>
      </w:r>
      <w:proofErr w:type="spellEnd"/>
      <w:r>
        <w:t xml:space="preserve"> H </w:t>
      </w:r>
    </w:p>
    <w:p w:rsidR="00D23456" w:rsidRDefault="00D23456" w:rsidP="00D23456">
      <w:r>
        <w:t xml:space="preserve">Author information: Division of Cancer Studies, King's College London, Cancer Epidemiology Group, </w:t>
      </w:r>
      <w:proofErr w:type="spellStart"/>
      <w:r>
        <w:t>Bermondsey</w:t>
      </w:r>
      <w:proofErr w:type="spellEnd"/>
      <w:r>
        <w:t xml:space="preserve"> Wing, Guy's Hospital, London UK,</w:t>
      </w:r>
    </w:p>
    <w:p w:rsidR="00D23456" w:rsidRDefault="00D23456" w:rsidP="00D23456"/>
    <w:p w:rsidR="00D23456" w:rsidRDefault="00D23456" w:rsidP="00D23456">
      <w:r>
        <w:t>Inflammation has been linked to cancer but its role in breast cancer is unclear. We investigated common serum markers of inflammation: C-reactive protein (CRP),</w:t>
      </w:r>
      <w:r>
        <w:t xml:space="preserve"> </w:t>
      </w:r>
      <w:r>
        <w:t xml:space="preserve">albumin, </w:t>
      </w:r>
      <w:proofErr w:type="spellStart"/>
      <w:r>
        <w:t>haptoglobin</w:t>
      </w:r>
      <w:proofErr w:type="spellEnd"/>
      <w:r>
        <w:t xml:space="preserve"> and white blood cells (WBC) in relation to breast cancer</w:t>
      </w:r>
      <w:r>
        <w:t xml:space="preserve"> </w:t>
      </w:r>
      <w:r>
        <w:t>incidence, severity and survival. A total of 155179 women aged 20 and older</w:t>
      </w:r>
    </w:p>
    <w:p w:rsidR="00D23456" w:rsidRDefault="00D23456" w:rsidP="00D23456">
      <w:proofErr w:type="gramStart"/>
      <w:r>
        <w:t>without</w:t>
      </w:r>
      <w:proofErr w:type="gramEnd"/>
      <w:r>
        <w:t xml:space="preserve"> any history of cancer were selected from a large Swedish cohort. Hazard</w:t>
      </w:r>
      <w:r>
        <w:t xml:space="preserve"> </w:t>
      </w:r>
      <w:r>
        <w:t>ratios (HRs) for breast cancer were estimated with Cox regression, adjusting for potential confounders. Ordered and binomial logistic regression models were used to assess the associations of serum inflammatory markers with breast cancer</w:t>
      </w:r>
    </w:p>
    <w:p w:rsidR="00D23456" w:rsidRDefault="00D23456" w:rsidP="00D23456">
      <w:proofErr w:type="gramStart"/>
      <w:r>
        <w:t>severity</w:t>
      </w:r>
      <w:proofErr w:type="gramEnd"/>
      <w:r>
        <w:t xml:space="preserve"> and </w:t>
      </w:r>
      <w:proofErr w:type="spellStart"/>
      <w:r>
        <w:t>oestrogen</w:t>
      </w:r>
      <w:proofErr w:type="spellEnd"/>
      <w:r>
        <w:t xml:space="preserve"> receptor (ER) positivity at diagnosis, on the other.</w:t>
      </w:r>
      <w:r>
        <w:t xml:space="preserve"> </w:t>
      </w:r>
      <w:r>
        <w:t>Cumulative incidence functions by levels of inflammatory markers were assessed</w:t>
      </w:r>
      <w:r>
        <w:t xml:space="preserve"> </w:t>
      </w:r>
      <w:r>
        <w:t>for early death from breast cancer and all causes. During a mean follow-up of</w:t>
      </w:r>
      <w:r>
        <w:t xml:space="preserve"> </w:t>
      </w:r>
      <w:r>
        <w:t xml:space="preserve">18.3 years, 6606 women were diagnosed with breast cancer, of </w:t>
      </w:r>
      <w:proofErr w:type="gramStart"/>
      <w:r>
        <w:t>whom</w:t>
      </w:r>
      <w:proofErr w:type="gramEnd"/>
      <w:r>
        <w:t xml:space="preserve"> 1474 died. A</w:t>
      </w:r>
    </w:p>
    <w:p w:rsidR="00D23456" w:rsidRDefault="00D23456" w:rsidP="00D23456">
      <w:proofErr w:type="gramStart"/>
      <w:r>
        <w:t>positive</w:t>
      </w:r>
      <w:proofErr w:type="gramEnd"/>
      <w:r>
        <w:t xml:space="preserve"> association with incident breast cancer was seen for </w:t>
      </w:r>
      <w:proofErr w:type="spellStart"/>
      <w:r>
        <w:t>haptoglobin</w:t>
      </w:r>
      <w:proofErr w:type="spellEnd"/>
      <w:r>
        <w:t xml:space="preserve"> ≥1.4g/l [HR 1.09; 95% confidence interval (CI): 1.00-1.18] compared to lower</w:t>
      </w:r>
      <w:r>
        <w:t xml:space="preserve"> </w:t>
      </w:r>
      <w:r>
        <w:t>levels. No association was observed between inflammatory markers and breast</w:t>
      </w:r>
      <w:r>
        <w:t xml:space="preserve"> </w:t>
      </w:r>
      <w:r>
        <w:t xml:space="preserve">cancer severity or ER positivity. Higher </w:t>
      </w:r>
      <w:proofErr w:type="spellStart"/>
      <w:r>
        <w:t>haptoglobin</w:t>
      </w:r>
      <w:proofErr w:type="spellEnd"/>
      <w:r>
        <w:t xml:space="preserve"> was linked to risk of early death from breast cancer (HR: 1.27, 95% CI: 1.02-1.59), whereas higher risk of</w:t>
      </w:r>
      <w:r>
        <w:t xml:space="preserve"> </w:t>
      </w:r>
      <w:r>
        <w:t>early death from all causes was additionally found with CRP ≥ 10mg/l (HR: 1.19,</w:t>
      </w:r>
      <w:r>
        <w:t xml:space="preserve"> </w:t>
      </w:r>
      <w:r>
        <w:t>95% CI: 1.04-1.36) and WBC ≥ 10×10(9)/l (HR: 1.57, 1.14-2.16). Our findings</w:t>
      </w:r>
    </w:p>
    <w:p w:rsidR="00D23456" w:rsidRDefault="00D23456" w:rsidP="00D23456">
      <w:proofErr w:type="gramStart"/>
      <w:r>
        <w:t>indicate</w:t>
      </w:r>
      <w:proofErr w:type="gramEnd"/>
      <w:r>
        <w:t xml:space="preserve"> that </w:t>
      </w:r>
      <w:proofErr w:type="spellStart"/>
      <w:r>
        <w:t>prediagnostic</w:t>
      </w:r>
      <w:proofErr w:type="spellEnd"/>
      <w:r>
        <w:t xml:space="preserve"> serum inflammatory markers were weakly linked to</w:t>
      </w:r>
      <w:r>
        <w:t xml:space="preserve"> </w:t>
      </w:r>
      <w:r>
        <w:t>incident breast cancer but corresponded to worse survival after diagnosis.</w:t>
      </w:r>
      <w:r>
        <w:t xml:space="preserve"> PMID: 26130675  </w:t>
      </w:r>
    </w:p>
    <w:p w:rsidR="00D23456" w:rsidRDefault="00D23456" w:rsidP="00D23456"/>
    <w:p w:rsidR="00D23456" w:rsidRDefault="00D23456" w:rsidP="00D23456"/>
    <w:p w:rsidR="00D23456" w:rsidRDefault="00D23456" w:rsidP="00D23456">
      <w:r>
        <w:t xml:space="preserve">5. </w:t>
      </w:r>
      <w:proofErr w:type="spellStart"/>
      <w:r>
        <w:t>Int</w:t>
      </w:r>
      <w:proofErr w:type="spellEnd"/>
      <w:r>
        <w:t xml:space="preserve"> J </w:t>
      </w:r>
      <w:proofErr w:type="spellStart"/>
      <w:r>
        <w:t>Oncol</w:t>
      </w:r>
      <w:proofErr w:type="spellEnd"/>
      <w:r>
        <w:t>. 2015 Sep</w:t>
      </w:r>
      <w:proofErr w:type="gramStart"/>
      <w:r>
        <w:t>;47</w:t>
      </w:r>
      <w:proofErr w:type="gramEnd"/>
      <w:r>
        <w:t xml:space="preserve">(3):797-805. </w:t>
      </w:r>
    </w:p>
    <w:p w:rsidR="00D23456" w:rsidRPr="00D23456" w:rsidRDefault="00D23456" w:rsidP="00D23456">
      <w:pPr>
        <w:rPr>
          <w:b/>
        </w:rPr>
      </w:pPr>
      <w:r w:rsidRPr="00D23456">
        <w:rPr>
          <w:b/>
        </w:rPr>
        <w:t>The role of inflammation in progression of breast cancer: Friend or foe?</w:t>
      </w:r>
      <w:r>
        <w:rPr>
          <w:b/>
        </w:rPr>
        <w:t xml:space="preserve"> </w:t>
      </w:r>
      <w:proofErr w:type="gramStart"/>
      <w:r w:rsidRPr="00D23456">
        <w:rPr>
          <w:b/>
        </w:rPr>
        <w:t>(Review).</w:t>
      </w:r>
      <w:proofErr w:type="gramEnd"/>
    </w:p>
    <w:p w:rsidR="00D23456" w:rsidRDefault="00D23456" w:rsidP="00D23456">
      <w:r>
        <w:t>Allen MD</w:t>
      </w:r>
      <w:r>
        <w:t>, Jones LJ.</w:t>
      </w:r>
    </w:p>
    <w:p w:rsidR="00D23456" w:rsidRDefault="00D23456" w:rsidP="00D23456">
      <w:r>
        <w:t xml:space="preserve">Author information: Centre for </w:t>
      </w:r>
      <w:proofErr w:type="spellStart"/>
      <w:r>
        <w:t>Tumour</w:t>
      </w:r>
      <w:proofErr w:type="spellEnd"/>
      <w:r>
        <w:t xml:space="preserve"> Biology, </w:t>
      </w:r>
      <w:proofErr w:type="spellStart"/>
      <w:r>
        <w:t>Barts</w:t>
      </w:r>
      <w:proofErr w:type="spellEnd"/>
      <w:r>
        <w:t xml:space="preserve"> Cancer Institute, A Cancer Research UK Centre</w:t>
      </w:r>
    </w:p>
    <w:p w:rsidR="00D23456" w:rsidRDefault="00D23456" w:rsidP="00D23456">
      <w:proofErr w:type="gramStart"/>
      <w:r>
        <w:t>of</w:t>
      </w:r>
      <w:proofErr w:type="gramEnd"/>
      <w:r>
        <w:t xml:space="preserve"> Excellence, Queen Mary University of London, John Vane Science Centre, London </w:t>
      </w:r>
    </w:p>
    <w:p w:rsidR="00D23456" w:rsidRDefault="00D23456" w:rsidP="00D23456"/>
    <w:p w:rsidR="00D23456" w:rsidRDefault="00D23456" w:rsidP="00D23456">
      <w:r>
        <w:t>There is a growing interest in the role of the microenvironment in cancer,</w:t>
      </w:r>
      <w:r>
        <w:t xml:space="preserve"> </w:t>
      </w:r>
      <w:r>
        <w:t>however, it has been known for over one hundred years that the immune system</w:t>
      </w:r>
      <w:r>
        <w:t xml:space="preserve"> </w:t>
      </w:r>
      <w:r>
        <w:t>plays a prominent role in cancer. Recent decades have revealed more and more data</w:t>
      </w:r>
      <w:r>
        <w:t xml:space="preserve"> </w:t>
      </w:r>
      <w:r>
        <w:t>on how our own host response to cancer cells can help or hinder progression of</w:t>
      </w:r>
      <w:r>
        <w:t xml:space="preserve"> </w:t>
      </w:r>
      <w:r>
        <w:t>the disease. Despite all this work it is surprising how little is known about the</w:t>
      </w:r>
      <w:r>
        <w:t xml:space="preserve"> </w:t>
      </w:r>
      <w:r>
        <w:t>role of the immune system in human breast cancer development, as compared to</w:t>
      </w:r>
      <w:r>
        <w:t xml:space="preserve"> </w:t>
      </w:r>
      <w:r>
        <w:t>other cancers. Recent successes of PD-1 blockade in treating multiple cancers,</w:t>
      </w:r>
      <w:r>
        <w:t xml:space="preserve"> </w:t>
      </w:r>
      <w:r>
        <w:t>and new developments with other immune targets such as CTLA-4 and CSF-1</w:t>
      </w:r>
      <w:r>
        <w:t xml:space="preserve"> </w:t>
      </w:r>
      <w:r>
        <w:t xml:space="preserve">inhibitors, highlight that it is becoming ever more important that we </w:t>
      </w:r>
      <w:proofErr w:type="gramStart"/>
      <w:r>
        <w:t xml:space="preserve">understand </w:t>
      </w:r>
      <w:r>
        <w:t xml:space="preserve"> </w:t>
      </w:r>
      <w:r>
        <w:t>the</w:t>
      </w:r>
      <w:proofErr w:type="gramEnd"/>
      <w:r>
        <w:t xml:space="preserve"> complexity of the immune and inflammatory systems in the development and</w:t>
      </w:r>
      <w:r>
        <w:t xml:space="preserve"> </w:t>
      </w:r>
      <w:r>
        <w:t xml:space="preserve">progression of breast cancer. With this knowledge it may be possible to not </w:t>
      </w:r>
      <w:proofErr w:type="gramStart"/>
      <w:r>
        <w:t xml:space="preserve">only </w:t>
      </w:r>
      <w:r>
        <w:t xml:space="preserve"> </w:t>
      </w:r>
      <w:r>
        <w:t>target</w:t>
      </w:r>
      <w:proofErr w:type="gramEnd"/>
      <w:r>
        <w:t xml:space="preserve"> therapy but also more accurately predict those patients that truly need</w:t>
      </w:r>
      <w:r>
        <w:t xml:space="preserve"> </w:t>
      </w:r>
      <w:r>
        <w:t xml:space="preserve">it. This review </w:t>
      </w:r>
      <w:proofErr w:type="spellStart"/>
      <w:r>
        <w:t>summarises</w:t>
      </w:r>
      <w:proofErr w:type="spellEnd"/>
      <w:r>
        <w:t xml:space="preserve"> some of the most significant findings for the role </w:t>
      </w:r>
      <w:proofErr w:type="gramStart"/>
      <w:r>
        <w:t xml:space="preserve">of </w:t>
      </w:r>
      <w:r>
        <w:t xml:space="preserve"> </w:t>
      </w:r>
      <w:r>
        <w:t>the</w:t>
      </w:r>
      <w:proofErr w:type="gramEnd"/>
      <w:r>
        <w:t xml:space="preserve"> immune system and inflammatory response in breast cancer progression.</w:t>
      </w:r>
      <w:r>
        <w:t xml:space="preserve"> </w:t>
      </w:r>
      <w:r>
        <w:t>Focusing on how the inflammatory microenvironment may be involved in the</w:t>
      </w:r>
      <w:r>
        <w:t xml:space="preserve"> </w:t>
      </w:r>
      <w:r>
        <w:t>progression of pre-invasive ductal carcinoma in situ to invasive breast cancer.</w:t>
      </w:r>
      <w:r>
        <w:t xml:space="preserve"> </w:t>
      </w:r>
      <w:r>
        <w:t xml:space="preserve">It will also discuss the use of immune </w:t>
      </w:r>
      <w:r>
        <w:lastRenderedPageBreak/>
        <w:t>markers as diagnostic and prognostic tools</w:t>
      </w:r>
      <w:r>
        <w:t xml:space="preserve"> </w:t>
      </w:r>
      <w:r>
        <w:t xml:space="preserve">and </w:t>
      </w:r>
      <w:r w:rsidR="00E143FD">
        <w:t>summarize</w:t>
      </w:r>
      <w:r>
        <w:t xml:space="preserve"> the state of the art of immune-therapeutics in breast cancer</w:t>
      </w:r>
      <w:r>
        <w:t xml:space="preserve"> </w:t>
      </w:r>
      <w:r>
        <w:t>treatment.</w:t>
      </w:r>
      <w:r>
        <w:t xml:space="preserve"> </w:t>
      </w:r>
      <w:r>
        <w:t xml:space="preserve">PMID: 26165857  </w:t>
      </w:r>
    </w:p>
    <w:p w:rsidR="00D23456" w:rsidRDefault="00D23456" w:rsidP="00D23456"/>
    <w:p w:rsidR="00D23456" w:rsidRDefault="00D23456" w:rsidP="00D23456"/>
    <w:p w:rsidR="00D23456" w:rsidRDefault="00D23456" w:rsidP="00D23456">
      <w:r>
        <w:t>6. J Natl Cancer Inst. 2015 Aug 29</w:t>
      </w:r>
      <w:proofErr w:type="gramStart"/>
      <w:r>
        <w:t>;107</w:t>
      </w:r>
      <w:proofErr w:type="gramEnd"/>
      <w:r>
        <w:t xml:space="preserve">(11). </w:t>
      </w:r>
    </w:p>
    <w:p w:rsidR="00D23456" w:rsidRDefault="00D23456" w:rsidP="00D23456">
      <w:r w:rsidRPr="00D23456">
        <w:rPr>
          <w:b/>
        </w:rPr>
        <w:t>Cross Cancer Genomic Investigation of Inflammation Pathway for Five Common</w:t>
      </w:r>
      <w:r>
        <w:rPr>
          <w:b/>
        </w:rPr>
        <w:t xml:space="preserve"> </w:t>
      </w:r>
      <w:r w:rsidRPr="00D23456">
        <w:rPr>
          <w:b/>
        </w:rPr>
        <w:t>Cancers: Lung, Ovary, Prostate, Breast, and Colorectal Cancer.</w:t>
      </w:r>
      <w:r>
        <w:rPr>
          <w:b/>
        </w:rPr>
        <w:t xml:space="preserve"> </w:t>
      </w:r>
      <w:r>
        <w:t>Hung RJ, Ulrich CM</w:t>
      </w:r>
      <w:r>
        <w:t xml:space="preserve">, Goode EL, </w:t>
      </w:r>
      <w:proofErr w:type="spellStart"/>
      <w:r>
        <w:t>Brhane</w:t>
      </w:r>
      <w:proofErr w:type="spellEnd"/>
      <w:r>
        <w:t xml:space="preserve"> Y, Muir K </w:t>
      </w:r>
    </w:p>
    <w:p w:rsidR="00D23456" w:rsidRDefault="00D23456" w:rsidP="00D23456">
      <w:r>
        <w:t xml:space="preserve">Author information: </w:t>
      </w:r>
      <w:proofErr w:type="spellStart"/>
      <w:r>
        <w:t>Lunenfeld</w:t>
      </w:r>
      <w:proofErr w:type="spellEnd"/>
      <w:r>
        <w:t>-Tanenbaum Research Institute of Mount Sinai Hospital, Toronto,</w:t>
      </w:r>
    </w:p>
    <w:p w:rsidR="00D23456" w:rsidRDefault="00D23456" w:rsidP="00D23456">
      <w:r>
        <w:t>Canada</w:t>
      </w:r>
      <w:r>
        <w:t>; National Center for Tumor Diseases and German Cancer</w:t>
      </w:r>
      <w:r>
        <w:t xml:space="preserve"> Research Center</w:t>
      </w:r>
      <w:r>
        <w:t>, Heidelb</w:t>
      </w:r>
      <w:r>
        <w:t xml:space="preserve">erg, Germany </w:t>
      </w:r>
    </w:p>
    <w:p w:rsidR="00D23456" w:rsidRDefault="00D23456" w:rsidP="00D23456"/>
    <w:p w:rsidR="00D23456" w:rsidRDefault="00D23456" w:rsidP="00D23456">
      <w:r>
        <w:t>BACKGROUND: Inflammation has been hypothesized to increase the risk of cancer</w:t>
      </w:r>
    </w:p>
    <w:p w:rsidR="00D23456" w:rsidRDefault="00D23456" w:rsidP="00D23456">
      <w:proofErr w:type="gramStart"/>
      <w:r>
        <w:t>development</w:t>
      </w:r>
      <w:proofErr w:type="gramEnd"/>
      <w:r>
        <w:t xml:space="preserve"> as an initiator or promoter, yet no large-scale study of inherited</w:t>
      </w:r>
    </w:p>
    <w:p w:rsidR="00D23456" w:rsidRDefault="00D23456" w:rsidP="00D23456">
      <w:proofErr w:type="gramStart"/>
      <w:r>
        <w:t>variation</w:t>
      </w:r>
      <w:proofErr w:type="gramEnd"/>
      <w:r>
        <w:t xml:space="preserve"> across cancer sites has been conducted.</w:t>
      </w:r>
    </w:p>
    <w:p w:rsidR="00D23456" w:rsidRDefault="00D23456" w:rsidP="00D23456">
      <w:r>
        <w:t>METHODS: We conducted a cross-cancer genomic analysis for the inflammation</w:t>
      </w:r>
    </w:p>
    <w:p w:rsidR="00D23456" w:rsidRDefault="00D23456" w:rsidP="00D23456">
      <w:proofErr w:type="gramStart"/>
      <w:r>
        <w:t>pathway</w:t>
      </w:r>
      <w:proofErr w:type="gramEnd"/>
      <w:r>
        <w:t xml:space="preserve"> based on 48 genome-wide association studies within the National Cancer</w:t>
      </w:r>
    </w:p>
    <w:p w:rsidR="00D23456" w:rsidRDefault="00D23456" w:rsidP="00D23456">
      <w:r>
        <w:t>Institute GAME-ON Network across five common cancer sites, with a total of 64 591</w:t>
      </w:r>
    </w:p>
    <w:p w:rsidR="00D23456" w:rsidRDefault="00D23456" w:rsidP="00D23456">
      <w:proofErr w:type="gramStart"/>
      <w:r>
        <w:t>cancer</w:t>
      </w:r>
      <w:proofErr w:type="gramEnd"/>
      <w:r>
        <w:t xml:space="preserve"> patients and 74 467 control patients. Subset-based meta-analysis was used </w:t>
      </w:r>
    </w:p>
    <w:p w:rsidR="00D23456" w:rsidRDefault="00D23456" w:rsidP="00D23456">
      <w:proofErr w:type="gramStart"/>
      <w:r>
        <w:t>to</w:t>
      </w:r>
      <w:proofErr w:type="gramEnd"/>
      <w:r>
        <w:t xml:space="preserve"> account for possible disease heterogeneity, and hierarchical modeling was</w:t>
      </w:r>
    </w:p>
    <w:p w:rsidR="00D23456" w:rsidRDefault="00D23456" w:rsidP="00D23456">
      <w:proofErr w:type="gramStart"/>
      <w:r>
        <w:t>employed</w:t>
      </w:r>
      <w:proofErr w:type="gramEnd"/>
      <w:r>
        <w:t xml:space="preserve"> to estimate the effect of the subcomponents within the inflammation</w:t>
      </w:r>
    </w:p>
    <w:p w:rsidR="00D23456" w:rsidRDefault="00D23456" w:rsidP="00D23456">
      <w:proofErr w:type="gramStart"/>
      <w:r>
        <w:t>pathway</w:t>
      </w:r>
      <w:proofErr w:type="gramEnd"/>
      <w:r>
        <w:t>. The network was visualized by enrichment map. All statistical tests were</w:t>
      </w:r>
      <w:r>
        <w:t xml:space="preserve"> </w:t>
      </w:r>
      <w:r>
        <w:t>two-sided.</w:t>
      </w:r>
    </w:p>
    <w:p w:rsidR="00D23456" w:rsidRDefault="00D23456" w:rsidP="00D23456">
      <w:r>
        <w:t>RESULTS: We identified three pleiotropic loci within the inflammation pathway,</w:t>
      </w:r>
    </w:p>
    <w:p w:rsidR="00D23456" w:rsidRDefault="00D23456" w:rsidP="00D23456">
      <w:proofErr w:type="gramStart"/>
      <w:r>
        <w:t>including</w:t>
      </w:r>
      <w:proofErr w:type="gramEnd"/>
      <w:r>
        <w:t xml:space="preserve"> one novel locus in Ch12q24 encoding SH2B3 (rs3184504), which reached</w:t>
      </w:r>
    </w:p>
    <w:p w:rsidR="00D23456" w:rsidRDefault="00D23456" w:rsidP="00D23456">
      <w:r>
        <w:t>GWAS significance with a P value of 1.78 x 10(-8), and it showed an association</w:t>
      </w:r>
    </w:p>
    <w:p w:rsidR="00D23456" w:rsidRDefault="00D23456" w:rsidP="00D23456">
      <w:proofErr w:type="gramStart"/>
      <w:r>
        <w:t>with</w:t>
      </w:r>
      <w:proofErr w:type="gramEnd"/>
      <w:r>
        <w:t xml:space="preserve"> lung cancer (P = 2.01 x 10(-6)), colorectal cancer (GECCO P = 6.72x10(-6);</w:t>
      </w:r>
    </w:p>
    <w:p w:rsidR="00D23456" w:rsidRDefault="00D23456" w:rsidP="00D23456">
      <w:r>
        <w:t>CORECT P = 3.32x10(-5)), and breast cancer (P = .009). We also identified five</w:t>
      </w:r>
    </w:p>
    <w:p w:rsidR="00D23456" w:rsidRDefault="00D23456" w:rsidP="00D23456">
      <w:proofErr w:type="gramStart"/>
      <w:r>
        <w:t>key</w:t>
      </w:r>
      <w:proofErr w:type="gramEnd"/>
      <w:r>
        <w:t xml:space="preserve"> </w:t>
      </w:r>
      <w:proofErr w:type="spellStart"/>
      <w:r>
        <w:t>subpathway</w:t>
      </w:r>
      <w:proofErr w:type="spellEnd"/>
      <w:r>
        <w:t xml:space="preserve"> components with genetic variants that are relevant for the risk of</w:t>
      </w:r>
    </w:p>
    <w:p w:rsidR="00D23456" w:rsidRDefault="00D23456" w:rsidP="00D23456">
      <w:proofErr w:type="gramStart"/>
      <w:r>
        <w:t>these</w:t>
      </w:r>
      <w:proofErr w:type="gramEnd"/>
      <w:r>
        <w:t xml:space="preserve"> five cancer sites: inflammatory response for colorectal cancer (P = .006), </w:t>
      </w:r>
    </w:p>
    <w:p w:rsidR="00D23456" w:rsidRDefault="00D23456" w:rsidP="00D23456">
      <w:proofErr w:type="gramStart"/>
      <w:r>
        <w:t>inflammation</w:t>
      </w:r>
      <w:proofErr w:type="gramEnd"/>
      <w:r>
        <w:t xml:space="preserve"> related cell cycle gene for lung cancer (P = 1.35x10(-6)), and</w:t>
      </w:r>
    </w:p>
    <w:p w:rsidR="00D23456" w:rsidRDefault="00D23456" w:rsidP="00D23456">
      <w:proofErr w:type="gramStart"/>
      <w:r>
        <w:t>activation</w:t>
      </w:r>
      <w:proofErr w:type="gramEnd"/>
      <w:r>
        <w:t xml:space="preserve"> of immune response for ovarian cancer (P = .009). In addition,</w:t>
      </w:r>
    </w:p>
    <w:p w:rsidR="00D23456" w:rsidRDefault="00D23456" w:rsidP="00D23456">
      <w:proofErr w:type="gramStart"/>
      <w:r>
        <w:t>sequence</w:t>
      </w:r>
      <w:proofErr w:type="gramEnd"/>
      <w:r>
        <w:t xml:space="preserve"> variations in immune system development played a role in breast cancer</w:t>
      </w:r>
    </w:p>
    <w:p w:rsidR="00D23456" w:rsidRDefault="00D23456" w:rsidP="00D23456">
      <w:proofErr w:type="gramStart"/>
      <w:r>
        <w:t>etiology</w:t>
      </w:r>
      <w:proofErr w:type="gramEnd"/>
      <w:r>
        <w:t xml:space="preserve"> (P = .001) and innate immune response was involved in the risk of both</w:t>
      </w:r>
    </w:p>
    <w:p w:rsidR="00D23456" w:rsidRDefault="00D23456" w:rsidP="00D23456">
      <w:proofErr w:type="gramStart"/>
      <w:r>
        <w:t>colorectal</w:t>
      </w:r>
      <w:proofErr w:type="gramEnd"/>
      <w:r>
        <w:t xml:space="preserve"> (P = .022) and ovarian cancer (P = .003).</w:t>
      </w:r>
    </w:p>
    <w:p w:rsidR="00D23456" w:rsidRDefault="00D23456" w:rsidP="00D23456">
      <w:r>
        <w:t xml:space="preserve">CONCLUSIONS: Genetic variations in inflammation and its related </w:t>
      </w:r>
      <w:proofErr w:type="spellStart"/>
      <w:r>
        <w:t>subpathway</w:t>
      </w:r>
      <w:proofErr w:type="spellEnd"/>
    </w:p>
    <w:p w:rsidR="00D23456" w:rsidRDefault="00D23456" w:rsidP="00D23456">
      <w:proofErr w:type="gramStart"/>
      <w:r>
        <w:t>components</w:t>
      </w:r>
      <w:proofErr w:type="gramEnd"/>
      <w:r>
        <w:t xml:space="preserve"> are keys to the development of lung, colorectal, ovary, and breast</w:t>
      </w:r>
    </w:p>
    <w:p w:rsidR="00D23456" w:rsidRDefault="00D23456" w:rsidP="00D23456">
      <w:proofErr w:type="gramStart"/>
      <w:r>
        <w:t>cancer</w:t>
      </w:r>
      <w:proofErr w:type="gramEnd"/>
      <w:r>
        <w:t>, including SH2B3, which is associated with lung, colorectal, and breast</w:t>
      </w:r>
    </w:p>
    <w:p w:rsidR="00D23456" w:rsidRDefault="00D23456" w:rsidP="00D23456">
      <w:proofErr w:type="gramStart"/>
      <w:r>
        <w:t>cancer</w:t>
      </w:r>
      <w:proofErr w:type="gramEnd"/>
      <w:r>
        <w:t>.</w:t>
      </w:r>
      <w:r>
        <w:t xml:space="preserve"> PMID: 26319099  </w:t>
      </w:r>
    </w:p>
    <w:p w:rsidR="00D23456" w:rsidRDefault="00D23456" w:rsidP="00D23456"/>
    <w:p w:rsidR="00D23456" w:rsidRDefault="00D23456" w:rsidP="00D23456"/>
    <w:p w:rsidR="00D23456" w:rsidRDefault="00D23456" w:rsidP="00D23456">
      <w:r>
        <w:t>7. Breast. 2015 Aug</w:t>
      </w:r>
      <w:proofErr w:type="gramStart"/>
      <w:r>
        <w:t>;24</w:t>
      </w:r>
      <w:proofErr w:type="gramEnd"/>
      <w:r>
        <w:t xml:space="preserve">(4):491-6. </w:t>
      </w:r>
    </w:p>
    <w:p w:rsidR="00D23456" w:rsidRPr="00D23456" w:rsidRDefault="00D23456" w:rsidP="00D23456">
      <w:pPr>
        <w:rPr>
          <w:b/>
        </w:rPr>
      </w:pPr>
      <w:r w:rsidRPr="00D23456">
        <w:rPr>
          <w:b/>
        </w:rPr>
        <w:t>Dietary inflammation potential and postmenopausal breast cancer risk in a German case-control study.</w:t>
      </w:r>
    </w:p>
    <w:p w:rsidR="00D23456" w:rsidRDefault="00D23456" w:rsidP="00D23456">
      <w:r>
        <w:t>Ge I</w:t>
      </w:r>
      <w:r>
        <w:t xml:space="preserve">, Rudolph A, </w:t>
      </w:r>
      <w:proofErr w:type="spellStart"/>
      <w:r>
        <w:t>Shivappa</w:t>
      </w:r>
      <w:proofErr w:type="spellEnd"/>
      <w:r>
        <w:t xml:space="preserve"> N</w:t>
      </w:r>
      <w:r>
        <w:t xml:space="preserve">, </w:t>
      </w:r>
      <w:proofErr w:type="spellStart"/>
      <w:r>
        <w:t>Flesch-Janys</w:t>
      </w:r>
      <w:proofErr w:type="spellEnd"/>
      <w:r>
        <w:t xml:space="preserve"> D</w:t>
      </w:r>
      <w:r>
        <w:t>, Hébert JR</w:t>
      </w:r>
    </w:p>
    <w:p w:rsidR="00D23456" w:rsidRDefault="00D23456" w:rsidP="00D23456">
      <w:r>
        <w:t>Author information: Division of Cancer Epidemiology,</w:t>
      </w:r>
      <w:r>
        <w:t xml:space="preserve"> German Cancer Research Center, </w:t>
      </w:r>
      <w:r>
        <w:t>Heidelberg, Germany</w:t>
      </w:r>
    </w:p>
    <w:p w:rsidR="00D23456" w:rsidRDefault="00D23456" w:rsidP="00D23456"/>
    <w:p w:rsidR="00D23456" w:rsidRDefault="00D23456" w:rsidP="00D23456">
      <w:r>
        <w:t>Unhealthy dietary habits can increase the risk for serious medical conditions,</w:t>
      </w:r>
      <w:r w:rsidR="00E143FD">
        <w:t xml:space="preserve"> </w:t>
      </w:r>
      <w:r>
        <w:t>such as cancer, yet the association between diet and breast cancer remains</w:t>
      </w:r>
      <w:r w:rsidR="00E143FD">
        <w:t xml:space="preserve"> </w:t>
      </w:r>
      <w:r>
        <w:t>unclear. We investigated whether individual diets based on their inflammatory</w:t>
      </w:r>
      <w:r w:rsidR="00E143FD">
        <w:t xml:space="preserve"> </w:t>
      </w:r>
      <w:r>
        <w:t>potential are associated with postmenopausal breast cancer risk by employing an</w:t>
      </w:r>
    </w:p>
    <w:p w:rsidR="00D23456" w:rsidRDefault="00D23456" w:rsidP="00D23456">
      <w:proofErr w:type="gramStart"/>
      <w:r>
        <w:t>energy-adjusted</w:t>
      </w:r>
      <w:proofErr w:type="gramEnd"/>
      <w:r>
        <w:t xml:space="preserve"> dietary inflammation index. In a German population-based</w:t>
      </w:r>
      <w:r w:rsidR="00E143FD">
        <w:t xml:space="preserve"> </w:t>
      </w:r>
      <w:r>
        <w:t>case-control study, 2887 postmenopausal breast cancer patients (aged 50-74 years,</w:t>
      </w:r>
      <w:r w:rsidR="00E143FD">
        <w:t xml:space="preserve"> </w:t>
      </w:r>
      <w:r>
        <w:t>first diagnosed between 2002 and 2005) and 5512 healthy age-matched controls</w:t>
      </w:r>
      <w:r w:rsidR="00E143FD">
        <w:t xml:space="preserve"> </w:t>
      </w:r>
      <w:r>
        <w:t>provided information on dietary habits for the year prior to diagnosis (cases) or</w:t>
      </w:r>
    </w:p>
    <w:p w:rsidR="00D23456" w:rsidRDefault="00D23456" w:rsidP="00D23456">
      <w:proofErr w:type="gramStart"/>
      <w:r>
        <w:t>recruitment</w:t>
      </w:r>
      <w:proofErr w:type="gramEnd"/>
      <w:r>
        <w:t xml:space="preserve"> (controls) using a 176-items food frequency questionnaire.</w:t>
      </w:r>
      <w:r w:rsidR="00E143FD">
        <w:t xml:space="preserve"> </w:t>
      </w:r>
      <w:r>
        <w:t>Associations between the energy-adjusted dietary inflammation index (E-DII) score</w:t>
      </w:r>
      <w:r w:rsidR="00E143FD">
        <w:t xml:space="preserve"> </w:t>
      </w:r>
      <w:r>
        <w:t>(both as continuous variable and in quintiles) and risk for breast cancer were</w:t>
      </w:r>
      <w:r w:rsidR="00E143FD">
        <w:t xml:space="preserve"> </w:t>
      </w:r>
      <w:r>
        <w:t>assessed using conditional logistic regression adjusted for potential</w:t>
      </w:r>
      <w:r w:rsidR="00E143FD">
        <w:t xml:space="preserve"> </w:t>
      </w:r>
      <w:r>
        <w:t xml:space="preserve">confounders. No </w:t>
      </w:r>
      <w:r>
        <w:lastRenderedPageBreak/>
        <w:t>significant associations between the E-DII score and</w:t>
      </w:r>
      <w:r w:rsidR="00E143FD">
        <w:t xml:space="preserve"> </w:t>
      </w:r>
      <w:r>
        <w:t>postmenopausal breast cancer risk were observed (adjusted OR Q5 vs Q1: 1.01, 95</w:t>
      </w:r>
      <w:proofErr w:type="gramStart"/>
      <w:r>
        <w:t xml:space="preserve">% </w:t>
      </w:r>
      <w:r w:rsidR="00E143FD">
        <w:t xml:space="preserve"> </w:t>
      </w:r>
      <w:r>
        <w:t>CI</w:t>
      </w:r>
      <w:proofErr w:type="gramEnd"/>
      <w:r>
        <w:t>: 0.86-1.17). Associations did not differ by estrogen receptor/progesterone</w:t>
      </w:r>
    </w:p>
    <w:p w:rsidR="00D23456" w:rsidRDefault="00D23456" w:rsidP="00D23456">
      <w:proofErr w:type="gramStart"/>
      <w:r>
        <w:t>receptor</w:t>
      </w:r>
      <w:proofErr w:type="gramEnd"/>
      <w:r>
        <w:t xml:space="preserve"> status (ER + PR+: adjusted OR Q5 vs Q1: 1.06, 95% CI: 0.88-1.27; ER + or</w:t>
      </w:r>
      <w:r w:rsidR="00E143FD">
        <w:t xml:space="preserve"> </w:t>
      </w:r>
      <w:r>
        <w:t>PR+: OR Q5 vs Q1: 1,07, 95% CI: 0.79-1.45; ER-PR-: OR Q5 vs Q1: 0.87 95% CI:</w:t>
      </w:r>
      <w:r w:rsidR="00E143FD">
        <w:t xml:space="preserve"> </w:t>
      </w:r>
      <w:r>
        <w:t>0.63-1.20). Our results regarding E-DII are consistent with previous studies</w:t>
      </w:r>
      <w:r w:rsidR="00E143FD">
        <w:t xml:space="preserve"> </w:t>
      </w:r>
      <w:r>
        <w:t xml:space="preserve">reporting a lack of association between C-reactive protein, a marker of systemic </w:t>
      </w:r>
    </w:p>
    <w:p w:rsidR="00D23456" w:rsidRDefault="00D23456" w:rsidP="00D23456">
      <w:proofErr w:type="gramStart"/>
      <w:r>
        <w:t>inflammation</w:t>
      </w:r>
      <w:proofErr w:type="gramEnd"/>
      <w:r>
        <w:t>, and postmenopausal breast cancer risk. The findings may reflect a</w:t>
      </w:r>
      <w:r w:rsidR="00E143FD">
        <w:t xml:space="preserve"> </w:t>
      </w:r>
      <w:r>
        <w:t>real absence of association between dietary inflammatory potential and</w:t>
      </w:r>
      <w:r w:rsidR="00E143FD">
        <w:t xml:space="preserve"> </w:t>
      </w:r>
      <w:r>
        <w:t>postmenopausal cancer risk or an underestimation of association due to recall</w:t>
      </w:r>
      <w:r w:rsidR="00E143FD">
        <w:t xml:space="preserve"> </w:t>
      </w:r>
      <w:r>
        <w:t>bias. Further investigation is warranted in cohort studies.</w:t>
      </w:r>
      <w:r>
        <w:t xml:space="preserve"> PMID: 25987487  </w:t>
      </w:r>
    </w:p>
    <w:p w:rsidR="00D23456" w:rsidRDefault="00D23456" w:rsidP="00D23456"/>
    <w:p w:rsidR="00D23456" w:rsidRDefault="00D23456" w:rsidP="00D23456"/>
    <w:p w:rsidR="00D23456" w:rsidRDefault="00D23456" w:rsidP="00D23456">
      <w:r>
        <w:t>8. J Natl Cancer Inst. 2015 Jul 16</w:t>
      </w:r>
      <w:proofErr w:type="gramStart"/>
      <w:r>
        <w:t>;107</w:t>
      </w:r>
      <w:proofErr w:type="gramEnd"/>
      <w:r>
        <w:t xml:space="preserve">(9). </w:t>
      </w:r>
    </w:p>
    <w:p w:rsidR="00D23456" w:rsidRPr="00D23456" w:rsidRDefault="00D23456" w:rsidP="00D23456">
      <w:pPr>
        <w:rPr>
          <w:b/>
        </w:rPr>
      </w:pPr>
      <w:proofErr w:type="gramStart"/>
      <w:r w:rsidRPr="00D23456">
        <w:rPr>
          <w:b/>
        </w:rPr>
        <w:t xml:space="preserve">Circulating </w:t>
      </w:r>
      <w:proofErr w:type="spellStart"/>
      <w:r w:rsidRPr="00D23456">
        <w:rPr>
          <w:b/>
        </w:rPr>
        <w:t>Adipokines</w:t>
      </w:r>
      <w:proofErr w:type="spellEnd"/>
      <w:r w:rsidRPr="00D23456">
        <w:rPr>
          <w:b/>
        </w:rPr>
        <w:t xml:space="preserve"> and Inflammatory Markers and Postmenopausal Breast Cancer Risk.</w:t>
      </w:r>
      <w:proofErr w:type="gramEnd"/>
    </w:p>
    <w:p w:rsidR="00D23456" w:rsidRDefault="00D23456" w:rsidP="00D23456">
      <w:r>
        <w:t>Gunter MJ, Wang T, Cushman M</w:t>
      </w:r>
      <w:r>
        <w:t xml:space="preserve">, </w:t>
      </w:r>
      <w:proofErr w:type="spellStart"/>
      <w:r>
        <w:t>Xue</w:t>
      </w:r>
      <w:proofErr w:type="spellEnd"/>
      <w:r>
        <w:t xml:space="preserve"> X</w:t>
      </w:r>
      <w:r>
        <w:t xml:space="preserve">, </w:t>
      </w:r>
      <w:proofErr w:type="spellStart"/>
      <w:r>
        <w:t>Wassertheil-Smoller</w:t>
      </w:r>
      <w:proofErr w:type="spellEnd"/>
      <w:r>
        <w:t xml:space="preserve"> S</w:t>
      </w:r>
    </w:p>
    <w:p w:rsidR="00D23456" w:rsidRDefault="00D23456" w:rsidP="00D23456">
      <w:r>
        <w:t>Author information: Imperial Co</w:t>
      </w:r>
      <w:r>
        <w:t>llege, London, UK</w:t>
      </w:r>
      <w:r>
        <w:t>; Albert Einstein College of Medicine,</w:t>
      </w:r>
      <w:r>
        <w:t xml:space="preserve"> </w:t>
      </w:r>
      <w:r>
        <w:t xml:space="preserve">Bronx, NY </w:t>
      </w:r>
    </w:p>
    <w:p w:rsidR="00D23456" w:rsidRDefault="00D23456" w:rsidP="00D23456"/>
    <w:p w:rsidR="00D23456" w:rsidRDefault="00D23456" w:rsidP="00D23456">
      <w:r>
        <w:t xml:space="preserve">BACKGROUND: </w:t>
      </w:r>
      <w:proofErr w:type="spellStart"/>
      <w:r>
        <w:t>Adipokines</w:t>
      </w:r>
      <w:proofErr w:type="spellEnd"/>
      <w:r>
        <w:t xml:space="preserve"> and inflammation may provide a mechanistic link between</w:t>
      </w:r>
    </w:p>
    <w:p w:rsidR="00D23456" w:rsidRDefault="00D23456" w:rsidP="00D23456">
      <w:proofErr w:type="gramStart"/>
      <w:r>
        <w:t>obesity</w:t>
      </w:r>
      <w:proofErr w:type="gramEnd"/>
      <w:r>
        <w:t xml:space="preserve"> and postmenopausal breast cancer, yet epidemiologic data on their</w:t>
      </w:r>
    </w:p>
    <w:p w:rsidR="00D23456" w:rsidRDefault="00D23456" w:rsidP="00D23456">
      <w:proofErr w:type="gramStart"/>
      <w:r>
        <w:t>associations</w:t>
      </w:r>
      <w:proofErr w:type="gramEnd"/>
      <w:r>
        <w:t xml:space="preserve"> with breast cancer risk are limited.</w:t>
      </w:r>
    </w:p>
    <w:p w:rsidR="00D23456" w:rsidRDefault="00D23456" w:rsidP="00D23456">
      <w:r>
        <w:t>METHODS: In a case-cohort analysis nested within the Women's Health Initiative</w:t>
      </w:r>
    </w:p>
    <w:p w:rsidR="00D23456" w:rsidRDefault="00D23456" w:rsidP="00D23456">
      <w:r>
        <w:t>Observational Study, a prospective cohort of postmenopausal women, baseline</w:t>
      </w:r>
    </w:p>
    <w:p w:rsidR="00D23456" w:rsidRDefault="00D23456" w:rsidP="00D23456">
      <w:proofErr w:type="gramStart"/>
      <w:r>
        <w:t>plasma</w:t>
      </w:r>
      <w:proofErr w:type="gramEnd"/>
      <w:r>
        <w:t xml:space="preserve"> samples from 875 incident breast cancer case patients and 839 </w:t>
      </w:r>
      <w:proofErr w:type="spellStart"/>
      <w:r>
        <w:t>subcohort</w:t>
      </w:r>
      <w:proofErr w:type="spellEnd"/>
    </w:p>
    <w:p w:rsidR="00D23456" w:rsidRDefault="00D23456" w:rsidP="00D23456">
      <w:proofErr w:type="gramStart"/>
      <w:r>
        <w:t>participants</w:t>
      </w:r>
      <w:proofErr w:type="gramEnd"/>
      <w:r>
        <w:t xml:space="preserve"> were tested for levels of seven </w:t>
      </w:r>
      <w:proofErr w:type="spellStart"/>
      <w:r>
        <w:t>adipokines</w:t>
      </w:r>
      <w:proofErr w:type="spellEnd"/>
      <w:r>
        <w:t>, namely leptin,</w:t>
      </w:r>
    </w:p>
    <w:p w:rsidR="00D23456" w:rsidRDefault="00D23456" w:rsidP="00D23456">
      <w:proofErr w:type="gramStart"/>
      <w:r>
        <w:t>adiponectin</w:t>
      </w:r>
      <w:proofErr w:type="gramEnd"/>
      <w:r>
        <w:t xml:space="preserve">, </w:t>
      </w:r>
      <w:proofErr w:type="spellStart"/>
      <w:r>
        <w:t>resistin</w:t>
      </w:r>
      <w:proofErr w:type="spellEnd"/>
      <w:r>
        <w:t xml:space="preserve">, interleukin-6, tumor necrosis factor-α, hepatocyte growth </w:t>
      </w:r>
    </w:p>
    <w:p w:rsidR="00D23456" w:rsidRDefault="00D23456" w:rsidP="00D23456">
      <w:proofErr w:type="gramStart"/>
      <w:r>
        <w:t>factor</w:t>
      </w:r>
      <w:proofErr w:type="gramEnd"/>
      <w:r>
        <w:t xml:space="preserve">, and plasminogen activator inhibitor-1, and for C-reactive protein (CRP), </w:t>
      </w:r>
    </w:p>
    <w:p w:rsidR="00D23456" w:rsidRDefault="00D23456" w:rsidP="00D23456">
      <w:proofErr w:type="gramStart"/>
      <w:r>
        <w:t>an</w:t>
      </w:r>
      <w:proofErr w:type="gramEnd"/>
      <w:r>
        <w:t xml:space="preserve"> inflammatory marker. Data were analyzed by multivariable Cox modeling that</w:t>
      </w:r>
    </w:p>
    <w:p w:rsidR="00D23456" w:rsidRDefault="00D23456" w:rsidP="00D23456">
      <w:proofErr w:type="gramStart"/>
      <w:r>
        <w:t>included</w:t>
      </w:r>
      <w:proofErr w:type="gramEnd"/>
      <w:r>
        <w:t xml:space="preserve"> established breast cancer risk factors and previously measured estradiol</w:t>
      </w:r>
    </w:p>
    <w:p w:rsidR="00D23456" w:rsidRDefault="00D23456" w:rsidP="00D23456">
      <w:proofErr w:type="gramStart"/>
      <w:r>
        <w:t>and</w:t>
      </w:r>
      <w:proofErr w:type="gramEnd"/>
      <w:r>
        <w:t xml:space="preserve"> insulin levels. All statistical tests were two-sided.</w:t>
      </w:r>
    </w:p>
    <w:p w:rsidR="00D23456" w:rsidRDefault="00D23456" w:rsidP="00D23456">
      <w:r>
        <w:t>RESULTS: The association between plasma CRP levels and breast cancer risk was</w:t>
      </w:r>
    </w:p>
    <w:p w:rsidR="00D23456" w:rsidRDefault="00D23456" w:rsidP="00D23456">
      <w:proofErr w:type="gramStart"/>
      <w:r>
        <w:t>dependent</w:t>
      </w:r>
      <w:proofErr w:type="gramEnd"/>
      <w:r>
        <w:t xml:space="preserve"> on hormone therapy (HT) use at baseline (P interaction = .003). In a</w:t>
      </w:r>
    </w:p>
    <w:p w:rsidR="00D23456" w:rsidRDefault="00D23456" w:rsidP="00D23456">
      <w:proofErr w:type="gramStart"/>
      <w:r>
        <w:t>model</w:t>
      </w:r>
      <w:proofErr w:type="gramEnd"/>
      <w:r>
        <w:t xml:space="preserve"> that controlled for multiple breast cancer risk factors including body mass</w:t>
      </w:r>
    </w:p>
    <w:p w:rsidR="00D23456" w:rsidRDefault="00D23456" w:rsidP="00D23456">
      <w:proofErr w:type="gramStart"/>
      <w:r>
        <w:t>index</w:t>
      </w:r>
      <w:proofErr w:type="gramEnd"/>
      <w:r>
        <w:t xml:space="preserve"> (BMI), estradiol, and insulin, CRP level was positively associated with</w:t>
      </w:r>
    </w:p>
    <w:p w:rsidR="00D23456" w:rsidRDefault="00D23456" w:rsidP="00D23456">
      <w:proofErr w:type="gramStart"/>
      <w:r>
        <w:t>breast</w:t>
      </w:r>
      <w:proofErr w:type="gramEnd"/>
      <w:r>
        <w:t xml:space="preserve"> cancer risk among HT nonusers (hazard ratio for high vs low CRP levels =</w:t>
      </w:r>
    </w:p>
    <w:p w:rsidR="00D23456" w:rsidRDefault="00D23456" w:rsidP="00D23456">
      <w:r>
        <w:t xml:space="preserve">1.67, 95% confidence interval = 1.04 to 2.68, P trend = .029). None of the other </w:t>
      </w:r>
    </w:p>
    <w:p w:rsidR="00D23456" w:rsidRDefault="00D23456" w:rsidP="00D23456">
      <w:proofErr w:type="spellStart"/>
      <w:proofErr w:type="gramStart"/>
      <w:r>
        <w:t>adipokines</w:t>
      </w:r>
      <w:proofErr w:type="spellEnd"/>
      <w:proofErr w:type="gramEnd"/>
      <w:r>
        <w:t xml:space="preserve"> were statistically significantly associated with breast cancer risk.</w:t>
      </w:r>
    </w:p>
    <w:p w:rsidR="00D23456" w:rsidRDefault="00D23456" w:rsidP="00D23456">
      <w:r>
        <w:t xml:space="preserve">Following inclusion of CRP, insulin, and estradiol in a multivariable model, the </w:t>
      </w:r>
    </w:p>
    <w:p w:rsidR="00D23456" w:rsidRDefault="00D23456" w:rsidP="00D23456">
      <w:proofErr w:type="gramStart"/>
      <w:r>
        <w:t>association</w:t>
      </w:r>
      <w:proofErr w:type="gramEnd"/>
      <w:r>
        <w:t xml:space="preserve"> of BMI with breast cancer was attenuated by 115%.</w:t>
      </w:r>
    </w:p>
    <w:p w:rsidR="00D23456" w:rsidRDefault="00D23456" w:rsidP="00D23456">
      <w:r>
        <w:t>CONCLUSION: These data indicate that CRP is a risk factor for postmenopausal</w:t>
      </w:r>
    </w:p>
    <w:p w:rsidR="00D23456" w:rsidRDefault="00D23456" w:rsidP="00D23456">
      <w:proofErr w:type="gramStart"/>
      <w:r>
        <w:t>breast</w:t>
      </w:r>
      <w:proofErr w:type="gramEnd"/>
      <w:r>
        <w:t xml:space="preserve"> cancer among HT nonusers. Inflammatory mediators, together with insulin</w:t>
      </w:r>
    </w:p>
    <w:p w:rsidR="00D23456" w:rsidRDefault="00D23456" w:rsidP="00D23456">
      <w:proofErr w:type="gramStart"/>
      <w:r>
        <w:t>and</w:t>
      </w:r>
      <w:proofErr w:type="gramEnd"/>
      <w:r>
        <w:t xml:space="preserve"> estrogen, may play a role in the obesity-breast cancer relation.</w:t>
      </w:r>
      <w:r>
        <w:t xml:space="preserve"> PMID: 26185195  </w:t>
      </w:r>
    </w:p>
    <w:p w:rsidR="00D23456" w:rsidRDefault="00D23456" w:rsidP="00D23456"/>
    <w:p w:rsidR="00D23456" w:rsidRDefault="00D23456" w:rsidP="00D23456"/>
    <w:p w:rsidR="00D23456" w:rsidRDefault="00D23456" w:rsidP="00D23456">
      <w:r>
        <w:t xml:space="preserve">9. </w:t>
      </w:r>
      <w:proofErr w:type="spellStart"/>
      <w:r>
        <w:t>Exerc</w:t>
      </w:r>
      <w:proofErr w:type="spellEnd"/>
      <w:r>
        <w:t xml:space="preserve"> Sport </w:t>
      </w:r>
      <w:proofErr w:type="spellStart"/>
      <w:r>
        <w:t>Sci</w:t>
      </w:r>
      <w:proofErr w:type="spellEnd"/>
      <w:r>
        <w:t xml:space="preserve"> Rev. 2015 Jul</w:t>
      </w:r>
      <w:proofErr w:type="gramStart"/>
      <w:r>
        <w:t>;43</w:t>
      </w:r>
      <w:proofErr w:type="gramEnd"/>
      <w:r>
        <w:t xml:space="preserve">(3):134-42. </w:t>
      </w:r>
    </w:p>
    <w:p w:rsidR="00D23456" w:rsidRPr="00D23456" w:rsidRDefault="00D23456" w:rsidP="00D23456">
      <w:pPr>
        <w:rPr>
          <w:b/>
        </w:rPr>
      </w:pPr>
      <w:r w:rsidRPr="00D23456">
        <w:rPr>
          <w:b/>
        </w:rPr>
        <w:t>Influence of Exercise on Inflammation in Cancer: Direct Effect or Innocent</w:t>
      </w:r>
      <w:r>
        <w:rPr>
          <w:b/>
        </w:rPr>
        <w:t xml:space="preserve"> </w:t>
      </w:r>
      <w:r w:rsidRPr="00D23456">
        <w:rPr>
          <w:b/>
        </w:rPr>
        <w:t>Bystander?</w:t>
      </w:r>
    </w:p>
    <w:p w:rsidR="00D23456" w:rsidRDefault="00D23456" w:rsidP="00D23456">
      <w:r>
        <w:t xml:space="preserve">Murphy EA, </w:t>
      </w:r>
      <w:proofErr w:type="spellStart"/>
      <w:r>
        <w:t>Enos</w:t>
      </w:r>
      <w:proofErr w:type="spellEnd"/>
      <w:r>
        <w:t xml:space="preserve"> RT, Velázquez KT.</w:t>
      </w:r>
    </w:p>
    <w:p w:rsidR="00D23456" w:rsidRDefault="00D23456" w:rsidP="00D23456">
      <w:r>
        <w:t>Author information: Department of Pathology, Microbiology and Immunology, School of Medicine,</w:t>
      </w:r>
      <w:r>
        <w:t xml:space="preserve"> University of South Carolina</w:t>
      </w:r>
    </w:p>
    <w:p w:rsidR="00D23456" w:rsidRDefault="00D23456" w:rsidP="00D23456"/>
    <w:p w:rsidR="00D23456" w:rsidRDefault="00D23456" w:rsidP="00D23456">
      <w:r>
        <w:t>We propose the hypothesis that the benefits of exercise on inflammation in cancer</w:t>
      </w:r>
    </w:p>
    <w:p w:rsidR="00D23456" w:rsidRDefault="00D23456" w:rsidP="00D23456">
      <w:proofErr w:type="gramStart"/>
      <w:r>
        <w:t>are</w:t>
      </w:r>
      <w:proofErr w:type="gramEnd"/>
      <w:r>
        <w:t xml:space="preserve"> a result of a direct effect on inflammatory cytokines, including</w:t>
      </w:r>
    </w:p>
    <w:p w:rsidR="00D23456" w:rsidRDefault="00D23456" w:rsidP="00D23456">
      <w:proofErr w:type="gramStart"/>
      <w:r>
        <w:t>interleukin-6</w:t>
      </w:r>
      <w:proofErr w:type="gramEnd"/>
      <w:r>
        <w:t>, tumor necrosis factor-α, and monocyte chemoattractant protein 1,</w:t>
      </w:r>
    </w:p>
    <w:p w:rsidR="00D23456" w:rsidRDefault="00D23456" w:rsidP="00D23456">
      <w:proofErr w:type="gramStart"/>
      <w:r>
        <w:t>that</w:t>
      </w:r>
      <w:proofErr w:type="gramEnd"/>
      <w:r>
        <w:t xml:space="preserve"> are critical for cancer growth as well as a bystander effect of the</w:t>
      </w:r>
    </w:p>
    <w:p w:rsidR="00D23456" w:rsidRDefault="00D23456" w:rsidP="00D23456">
      <w:proofErr w:type="gramStart"/>
      <w:r>
        <w:t>established</w:t>
      </w:r>
      <w:proofErr w:type="gramEnd"/>
      <w:r>
        <w:t xml:space="preserve"> relationship between exercise and cancer.</w:t>
      </w:r>
      <w:r>
        <w:t xml:space="preserve"> PMID: 25906430  </w:t>
      </w:r>
    </w:p>
    <w:p w:rsidR="00D23456" w:rsidRDefault="00D23456" w:rsidP="00D23456">
      <w:r>
        <w:lastRenderedPageBreak/>
        <w:t>10. Breast Cancer Res Treat. 2015 Jun</w:t>
      </w:r>
      <w:proofErr w:type="gramStart"/>
      <w:r>
        <w:t>;151</w:t>
      </w:r>
      <w:proofErr w:type="gramEnd"/>
      <w:r>
        <w:t xml:space="preserve">(2):235-8. </w:t>
      </w:r>
    </w:p>
    <w:p w:rsidR="00D23456" w:rsidRPr="00D23456" w:rsidRDefault="00D23456" w:rsidP="00D23456">
      <w:pPr>
        <w:rPr>
          <w:b/>
        </w:rPr>
      </w:pPr>
      <w:proofErr w:type="gramStart"/>
      <w:r w:rsidRPr="00D23456">
        <w:rPr>
          <w:b/>
        </w:rPr>
        <w:t>A framework for the role of acute inflammation in tumor progression.</w:t>
      </w:r>
      <w:proofErr w:type="gramEnd"/>
    </w:p>
    <w:p w:rsidR="00D23456" w:rsidRDefault="00D23456" w:rsidP="00D23456">
      <w:proofErr w:type="spellStart"/>
      <w:r>
        <w:t>Szalayova</w:t>
      </w:r>
      <w:proofErr w:type="spellEnd"/>
      <w:r>
        <w:t xml:space="preserve"> G, James TA, Rincon M.</w:t>
      </w:r>
    </w:p>
    <w:p w:rsidR="00D23456" w:rsidRDefault="00D23456" w:rsidP="00D23456">
      <w:r>
        <w:t xml:space="preserve">Author information: Department of Surgery, Western Connecticut Health Network, </w:t>
      </w:r>
      <w:r>
        <w:t>Danbury, CT</w:t>
      </w:r>
    </w:p>
    <w:p w:rsidR="00D23456" w:rsidRDefault="00D23456" w:rsidP="00D23456"/>
    <w:p w:rsidR="00D23456" w:rsidRDefault="00D23456" w:rsidP="00D23456">
      <w:r>
        <w:t>Breast cancer remains the second leading cancer-related death in women in the</w:t>
      </w:r>
      <w:r w:rsidR="00E143FD">
        <w:t xml:space="preserve"> </w:t>
      </w:r>
      <w:r>
        <w:t>United States. Despite improvements in early detection, prevention, and</w:t>
      </w:r>
      <w:r w:rsidR="00E143FD">
        <w:t xml:space="preserve"> </w:t>
      </w:r>
      <w:r>
        <w:t>treatment, the mortality rate in breast cancer remains high secondary to the</w:t>
      </w:r>
      <w:r w:rsidR="00E143FD">
        <w:t xml:space="preserve"> </w:t>
      </w:r>
      <w:r>
        <w:t>potential for cancer recurrence and the development of metastasis. To minimize</w:t>
      </w:r>
      <w:r w:rsidR="00E143FD">
        <w:t xml:space="preserve"> </w:t>
      </w:r>
      <w:r>
        <w:t>breast cancer-related morbidity and mortality, understanding the factors leading to an increased risk of metastasis and developing clinical interventions that</w:t>
      </w:r>
      <w:r w:rsidR="00E143FD">
        <w:t xml:space="preserve"> </w:t>
      </w:r>
      <w:r>
        <w:t>reduce this risk is essential. While the association between chronic inflammation</w:t>
      </w:r>
      <w:r w:rsidR="00E143FD">
        <w:t xml:space="preserve"> </w:t>
      </w:r>
      <w:r>
        <w:t>and cancer progression is well documented in the literature, the role of acute</w:t>
      </w:r>
      <w:r w:rsidR="00E143FD">
        <w:t xml:space="preserve"> </w:t>
      </w:r>
      <w:r>
        <w:t>inflammation and its impact on tumor proliferation and metastasis is less well</w:t>
      </w:r>
      <w:r w:rsidR="00E143FD">
        <w:t xml:space="preserve"> </w:t>
      </w:r>
      <w:r>
        <w:t>understood. Here, we will review recently published preclinica</w:t>
      </w:r>
      <w:r w:rsidR="00E143FD">
        <w:t xml:space="preserve">l studies in mouse </w:t>
      </w:r>
      <w:r>
        <w:t xml:space="preserve">models indicating that acute inflammation caused by clinical interventions plays </w:t>
      </w:r>
    </w:p>
    <w:p w:rsidR="00D23456" w:rsidRDefault="00D23456" w:rsidP="00D23456">
      <w:proofErr w:type="gramStart"/>
      <w:r>
        <w:t>an</w:t>
      </w:r>
      <w:proofErr w:type="gramEnd"/>
      <w:r>
        <w:t xml:space="preserve"> important role in the risk of peripheral metastases. In addition, we will</w:t>
      </w:r>
      <w:r w:rsidR="00E143FD">
        <w:t xml:space="preserve"> </w:t>
      </w:r>
      <w:r>
        <w:t>address the potential impact that these findings may have on the clinical</w:t>
      </w:r>
      <w:r w:rsidR="00E143FD">
        <w:t xml:space="preserve"> </w:t>
      </w:r>
      <w:r>
        <w:t>management of breast cancer.</w:t>
      </w:r>
      <w:r>
        <w:t xml:space="preserve"> PMID: 25893593  </w:t>
      </w:r>
    </w:p>
    <w:p w:rsidR="00D23456" w:rsidRDefault="00D23456" w:rsidP="00D23456"/>
    <w:p w:rsidR="00D23456" w:rsidRDefault="00D23456" w:rsidP="00D23456"/>
    <w:p w:rsidR="00D23456" w:rsidRDefault="00D23456" w:rsidP="00D23456">
      <w:r>
        <w:t xml:space="preserve">11. </w:t>
      </w:r>
      <w:proofErr w:type="spellStart"/>
      <w:r>
        <w:t>Sci</w:t>
      </w:r>
      <w:proofErr w:type="spellEnd"/>
      <w:r>
        <w:t xml:space="preserve"> Rep. 2015 May 22</w:t>
      </w:r>
      <w:proofErr w:type="gramStart"/>
      <w:r>
        <w:t>;5:10508</w:t>
      </w:r>
      <w:proofErr w:type="gramEnd"/>
      <w:r>
        <w:t xml:space="preserve">. </w:t>
      </w:r>
    </w:p>
    <w:p w:rsidR="00D23456" w:rsidRPr="00D23456" w:rsidRDefault="00D23456" w:rsidP="00D23456">
      <w:pPr>
        <w:rPr>
          <w:b/>
        </w:rPr>
      </w:pPr>
      <w:r w:rsidRPr="00D23456">
        <w:rPr>
          <w:b/>
        </w:rPr>
        <w:t>C-reactive protein and risk of breast cancer: A systematic review and</w:t>
      </w:r>
      <w:r>
        <w:rPr>
          <w:b/>
        </w:rPr>
        <w:t xml:space="preserve"> </w:t>
      </w:r>
      <w:r w:rsidRPr="00D23456">
        <w:rPr>
          <w:b/>
        </w:rPr>
        <w:t>meta-analysis.</w:t>
      </w:r>
    </w:p>
    <w:p w:rsidR="00D23456" w:rsidRDefault="00D23456" w:rsidP="00D23456">
      <w:proofErr w:type="spellStart"/>
      <w:r>
        <w:t>Guo</w:t>
      </w:r>
      <w:proofErr w:type="spellEnd"/>
      <w:r>
        <w:t xml:space="preserve"> L</w:t>
      </w:r>
      <w:r>
        <w:t>, Liu S, Zhang S</w:t>
      </w:r>
      <w:r>
        <w:t>, Chen Q, Zhang M</w:t>
      </w:r>
      <w:r>
        <w:t xml:space="preserve">, </w:t>
      </w:r>
      <w:proofErr w:type="spellStart"/>
      <w:r>
        <w:t>Quan</w:t>
      </w:r>
      <w:proofErr w:type="spellEnd"/>
      <w:r>
        <w:t xml:space="preserve"> P</w:t>
      </w:r>
    </w:p>
    <w:p w:rsidR="00D23456" w:rsidRDefault="00D23456" w:rsidP="00D23456">
      <w:r>
        <w:t>Author information: Department of Cancer Epidemiology, Affiliated Cancer Hospital of Zhengzhou</w:t>
      </w:r>
    </w:p>
    <w:p w:rsidR="00D23456" w:rsidRDefault="00D23456" w:rsidP="00D23456">
      <w:proofErr w:type="gramStart"/>
      <w:r>
        <w:t>University, Henan Cancer Hospital, Henan Office for Cancer Control and Research, China.</w:t>
      </w:r>
      <w:proofErr w:type="gramEnd"/>
    </w:p>
    <w:p w:rsidR="00D23456" w:rsidRDefault="00D23456" w:rsidP="00D23456"/>
    <w:p w:rsidR="00D23456" w:rsidRDefault="00D23456" w:rsidP="00D23456">
      <w:r>
        <w:t>Associations between elevated C-reactive protein (CRP) and breast cancer risk</w:t>
      </w:r>
      <w:r w:rsidR="00E143FD">
        <w:t xml:space="preserve"> </w:t>
      </w:r>
      <w:r>
        <w:t>have been reported for many years, but the results remain controversial. To</w:t>
      </w:r>
      <w:r w:rsidR="00E143FD">
        <w:t xml:space="preserve"> </w:t>
      </w:r>
      <w:r>
        <w:t>address this issue, a meta-analysis was therefore conducted. Eligible studies</w:t>
      </w:r>
      <w:r w:rsidR="00E143FD">
        <w:t xml:space="preserve"> </w:t>
      </w:r>
      <w:r>
        <w:t>were identified by searching the PubMed and EMBASE up to December 2014.</w:t>
      </w:r>
      <w:r w:rsidR="00E143FD">
        <w:t xml:space="preserve"> </w:t>
      </w:r>
      <w:r>
        <w:t>Study-specific risk estimates were combined using a random-effects model.</w:t>
      </w:r>
      <w:r w:rsidR="00E143FD">
        <w:t xml:space="preserve"> </w:t>
      </w:r>
      <w:r>
        <w:t>Altogether fifteen cohort and case-control studies were included in this</w:t>
      </w:r>
      <w:r w:rsidR="00E143FD">
        <w:t xml:space="preserve"> </w:t>
      </w:r>
      <w:r>
        <w:t>meta-analysis, involving a total of 5,286 breast cancer cases. The combined OR</w:t>
      </w:r>
    </w:p>
    <w:p w:rsidR="00D23456" w:rsidRDefault="00D23456" w:rsidP="00D23456">
      <w:proofErr w:type="gramStart"/>
      <w:r>
        <w:t>per</w:t>
      </w:r>
      <w:proofErr w:type="gramEnd"/>
      <w:r>
        <w:t xml:space="preserve"> natural log unit change in CRP for breast cancer was 1.16 (95% CI:1.06-1.27). There was moderate heterogeneity among studies (</w:t>
      </w:r>
      <w:proofErr w:type="gramStart"/>
      <w:r>
        <w:t>I(</w:t>
      </w:r>
      <w:proofErr w:type="gramEnd"/>
      <w:r>
        <w:t>2) = 45.9%). The</w:t>
      </w:r>
      <w:r w:rsidR="00E143FD">
        <w:t xml:space="preserve"> </w:t>
      </w:r>
      <w:r>
        <w:t>association was stronger in Asian population (OR = 1.57, 95% CI: 1.25-1.96)</w:t>
      </w:r>
      <w:r w:rsidR="00E143FD">
        <w:t xml:space="preserve"> </w:t>
      </w:r>
      <w:r>
        <w:t xml:space="preserve">compared to European (OR = 1.12, 95% CI: 1.02-1.23) and American (OR = 1.08, 95% </w:t>
      </w:r>
    </w:p>
    <w:p w:rsidR="00D23456" w:rsidRDefault="00D23456" w:rsidP="00D23456">
      <w:r>
        <w:t xml:space="preserve">CI: 1.01-1.16). </w:t>
      </w:r>
      <w:proofErr w:type="spellStart"/>
      <w:r>
        <w:t>Prediagnostic</w:t>
      </w:r>
      <w:proofErr w:type="spellEnd"/>
      <w:r>
        <w:t xml:space="preserve"> high-sensitivity CRP concentrations (OR = 1.22, 95%</w:t>
      </w:r>
      <w:r w:rsidR="00E143FD">
        <w:t xml:space="preserve"> </w:t>
      </w:r>
      <w:r>
        <w:t>CI: 1.10-1.35) was superior to common CRP (OR = 1.08, 95% CI: 1.01-1.15) in</w:t>
      </w:r>
      <w:r w:rsidR="00E143FD">
        <w:t xml:space="preserve"> </w:t>
      </w:r>
      <w:r>
        <w:t xml:space="preserve">predicting breast cancer risk. The meta-analysis indicated that </w:t>
      </w:r>
      <w:proofErr w:type="gramStart"/>
      <w:r>
        <w:t>elevated CRP</w:t>
      </w:r>
      <w:r w:rsidR="00E143FD">
        <w:t xml:space="preserve"> </w:t>
      </w:r>
      <w:r>
        <w:t>levels was</w:t>
      </w:r>
      <w:proofErr w:type="gramEnd"/>
      <w:r>
        <w:t xml:space="preserve"> associated with increased risk of breast cancer. Further research</w:t>
      </w:r>
      <w:r w:rsidR="00E143FD">
        <w:t xml:space="preserve"> </w:t>
      </w:r>
      <w:r>
        <w:t>effort should be performed to identify whether CRP, as a marker of inflammation, plays a direct role in breast carcinogenesis.</w:t>
      </w:r>
      <w:r>
        <w:t xml:space="preserve"> PMID: 26001129  </w:t>
      </w:r>
    </w:p>
    <w:p w:rsidR="00D23456" w:rsidRDefault="00D23456" w:rsidP="00D23456"/>
    <w:p w:rsidR="00D23456" w:rsidRDefault="00D23456" w:rsidP="00D23456"/>
    <w:p w:rsidR="00D23456" w:rsidRDefault="00D23456" w:rsidP="00D23456">
      <w:r>
        <w:t xml:space="preserve">12. </w:t>
      </w:r>
      <w:proofErr w:type="spellStart"/>
      <w:r>
        <w:t>Semin</w:t>
      </w:r>
      <w:proofErr w:type="spellEnd"/>
      <w:r>
        <w:t xml:space="preserve"> </w:t>
      </w:r>
      <w:proofErr w:type="spellStart"/>
      <w:r>
        <w:t>Reprod</w:t>
      </w:r>
      <w:proofErr w:type="spellEnd"/>
      <w:r>
        <w:t xml:space="preserve"> Med. 2015 May</w:t>
      </w:r>
      <w:proofErr w:type="gramStart"/>
      <w:r>
        <w:t>;33</w:t>
      </w:r>
      <w:proofErr w:type="gramEnd"/>
      <w:r>
        <w:t xml:space="preserve">(3):208-12. </w:t>
      </w:r>
    </w:p>
    <w:p w:rsidR="00D23456" w:rsidRDefault="00D23456" w:rsidP="00D23456">
      <w:proofErr w:type="gramStart"/>
      <w:r w:rsidRPr="00D23456">
        <w:rPr>
          <w:b/>
        </w:rPr>
        <w:t>Estrogens, obesity, inflammation, and breast cancer-what is the link?</w:t>
      </w:r>
      <w:proofErr w:type="gramEnd"/>
      <w:r>
        <w:rPr>
          <w:b/>
        </w:rPr>
        <w:t xml:space="preserve"> </w:t>
      </w:r>
      <w:r>
        <w:t>Brown KA</w:t>
      </w:r>
      <w:r>
        <w:t>, Simpson ER.</w:t>
      </w:r>
    </w:p>
    <w:p w:rsidR="00D23456" w:rsidRDefault="00D23456" w:rsidP="00D23456">
      <w:r>
        <w:t xml:space="preserve">Author information: MIMR-PHI Centre for Medical Research, Monash Medical Centre, Victoria, </w:t>
      </w:r>
      <w:proofErr w:type="gramStart"/>
      <w:r>
        <w:t>Australia</w:t>
      </w:r>
      <w:proofErr w:type="gramEnd"/>
      <w:r>
        <w:t>.</w:t>
      </w:r>
    </w:p>
    <w:p w:rsidR="00D23456" w:rsidRDefault="00D23456" w:rsidP="00D23456"/>
    <w:p w:rsidR="00D23456" w:rsidRDefault="00D23456" w:rsidP="00D23456">
      <w:r>
        <w:t xml:space="preserve">It gives me great pleasure to contribute to this special issue of Seminars which </w:t>
      </w:r>
    </w:p>
    <w:p w:rsidR="00D23456" w:rsidRDefault="00D23456" w:rsidP="00D23456">
      <w:proofErr w:type="gramStart"/>
      <w:r>
        <w:t>honors</w:t>
      </w:r>
      <w:proofErr w:type="gramEnd"/>
      <w:r>
        <w:t xml:space="preserve"> the career of Bruce Carr. As it happens, Bruce was my first Fellow upon my</w:t>
      </w:r>
    </w:p>
    <w:p w:rsidR="00D23456" w:rsidRDefault="00D23456" w:rsidP="00D23456">
      <w:proofErr w:type="gramStart"/>
      <w:r>
        <w:t>arrival</w:t>
      </w:r>
      <w:proofErr w:type="gramEnd"/>
      <w:r>
        <w:t xml:space="preserve"> at the Green Center for Reproductive Biology Sciences at UT Southwestern </w:t>
      </w:r>
    </w:p>
    <w:p w:rsidR="00D23456" w:rsidRDefault="00D23456" w:rsidP="00D23456">
      <w:proofErr w:type="gramStart"/>
      <w:r>
        <w:t>Medical Center in 1977.</w:t>
      </w:r>
      <w:proofErr w:type="gramEnd"/>
      <w:r>
        <w:t xml:space="preserve"> At that time, the Center was filled with luminaries of</w:t>
      </w:r>
    </w:p>
    <w:p w:rsidR="00D23456" w:rsidRDefault="00D23456" w:rsidP="00D23456">
      <w:r>
        <w:t xml:space="preserve">Reproductive Endocrinology, such as John Porter, Jack Johnston, Norman Gant, and </w:t>
      </w:r>
    </w:p>
    <w:p w:rsidR="00D23456" w:rsidRDefault="00D23456" w:rsidP="00D23456">
      <w:proofErr w:type="gramStart"/>
      <w:r>
        <w:t>of</w:t>
      </w:r>
      <w:proofErr w:type="gramEnd"/>
      <w:r>
        <w:t xml:space="preserve"> course the Director, Paul MacDonald, so to be given the responsibility of</w:t>
      </w:r>
    </w:p>
    <w:p w:rsidR="00D23456" w:rsidRDefault="00D23456" w:rsidP="00D23456">
      <w:proofErr w:type="gramStart"/>
      <w:r>
        <w:t>mentoring</w:t>
      </w:r>
      <w:proofErr w:type="gramEnd"/>
      <w:r>
        <w:t xml:space="preserve"> a new Fellow was a daunting responsibility. However, Bruce quickly</w:t>
      </w:r>
    </w:p>
    <w:p w:rsidR="00D23456" w:rsidRDefault="00D23456" w:rsidP="00D23456">
      <w:proofErr w:type="gramStart"/>
      <w:r>
        <w:t>rolled</w:t>
      </w:r>
      <w:proofErr w:type="gramEnd"/>
      <w:r>
        <w:t xml:space="preserve"> up his sleeves and plunged straight in, and we forged a relationship which</w:t>
      </w:r>
    </w:p>
    <w:p w:rsidR="00D23456" w:rsidRDefault="00D23456" w:rsidP="00D23456">
      <w:proofErr w:type="gramStart"/>
      <w:r>
        <w:t>led</w:t>
      </w:r>
      <w:proofErr w:type="gramEnd"/>
      <w:r>
        <w:t xml:space="preserve"> to some 36 manuscripts in 4 years. The first of these was entitled "The Role </w:t>
      </w:r>
    </w:p>
    <w:p w:rsidR="00D23456" w:rsidRDefault="00D23456" w:rsidP="00D23456">
      <w:proofErr w:type="gramStart"/>
      <w:r>
        <w:t>of</w:t>
      </w:r>
      <w:proofErr w:type="gramEnd"/>
      <w:r>
        <w:t xml:space="preserve"> Serum Lipoproteins in Steroidogenesis by the Human Fetal Adrenal Cortex,"</w:t>
      </w:r>
    </w:p>
    <w:p w:rsidR="00D23456" w:rsidRDefault="00D23456" w:rsidP="00D23456">
      <w:proofErr w:type="gramStart"/>
      <w:r>
        <w:lastRenderedPageBreak/>
        <w:t>published</w:t>
      </w:r>
      <w:proofErr w:type="gramEnd"/>
      <w:r>
        <w:t xml:space="preserve"> in the Journal of Clinical Endocrinology and Metabolism, volume 49,</w:t>
      </w:r>
    </w:p>
    <w:p w:rsidR="00D23456" w:rsidRDefault="00D23456" w:rsidP="00D23456">
      <w:proofErr w:type="gramStart"/>
      <w:r>
        <w:t>pages</w:t>
      </w:r>
      <w:proofErr w:type="gramEnd"/>
      <w:r>
        <w:t xml:space="preserve"> 146-148, in 1979, and the authors were Simpson ER, Carr BR, Parker CR Jr,</w:t>
      </w:r>
    </w:p>
    <w:p w:rsidR="00D23456" w:rsidRDefault="00D23456" w:rsidP="00D23456">
      <w:proofErr w:type="spellStart"/>
      <w:proofErr w:type="gramStart"/>
      <w:r>
        <w:t>Milewich</w:t>
      </w:r>
      <w:proofErr w:type="spellEnd"/>
      <w:r>
        <w:t xml:space="preserve"> L, Porter JC, and MacDonald PC.</w:t>
      </w:r>
      <w:proofErr w:type="gramEnd"/>
      <w:r>
        <w:t xml:space="preserve"> Bruce quickly moved up the ranks of the </w:t>
      </w:r>
    </w:p>
    <w:p w:rsidR="00D23456" w:rsidRDefault="00D23456" w:rsidP="00D23456">
      <w:r>
        <w:t>Obstetrics/Gynecology Department to become full Professor and we went our</w:t>
      </w:r>
    </w:p>
    <w:p w:rsidR="00D23456" w:rsidRDefault="00D23456" w:rsidP="00D23456">
      <w:proofErr w:type="gramStart"/>
      <w:r>
        <w:t>separate</w:t>
      </w:r>
      <w:proofErr w:type="gramEnd"/>
      <w:r>
        <w:t xml:space="preserve"> ways professionally, but we remain close friends to this day. This</w:t>
      </w:r>
    </w:p>
    <w:p w:rsidR="00D23456" w:rsidRDefault="00D23456" w:rsidP="00D23456">
      <w:proofErr w:type="gramStart"/>
      <w:r>
        <w:t>special</w:t>
      </w:r>
      <w:proofErr w:type="gramEnd"/>
      <w:r>
        <w:t xml:space="preserve"> issue is indeed a worthy tribute to an outstanding career and especially </w:t>
      </w:r>
    </w:p>
    <w:p w:rsidR="00D23456" w:rsidRDefault="00D23456" w:rsidP="00D23456">
      <w:proofErr w:type="gramStart"/>
      <w:r>
        <w:t>to</w:t>
      </w:r>
      <w:proofErr w:type="gramEnd"/>
      <w:r>
        <w:t xml:space="preserve"> Bruce's role as editor-in-chief of Seminars which he has guided through the</w:t>
      </w:r>
    </w:p>
    <w:p w:rsidR="00D23456" w:rsidRDefault="00D23456" w:rsidP="00D23456">
      <w:proofErr w:type="gramStart"/>
      <w:r>
        <w:t>rapid</w:t>
      </w:r>
      <w:proofErr w:type="gramEnd"/>
      <w:r>
        <w:t xml:space="preserve"> evolution of the specialty, always maintaining a strong research focus and </w:t>
      </w:r>
    </w:p>
    <w:p w:rsidR="00D23456" w:rsidRDefault="00D23456" w:rsidP="00D23456">
      <w:proofErr w:type="gramStart"/>
      <w:r>
        <w:t>thus</w:t>
      </w:r>
      <w:proofErr w:type="gramEnd"/>
      <w:r>
        <w:t xml:space="preserve"> carrying on the rich tradition of the Green Center and the</w:t>
      </w:r>
    </w:p>
    <w:p w:rsidR="00D23456" w:rsidRDefault="00D23456" w:rsidP="00D23456">
      <w:proofErr w:type="gramStart"/>
      <w:r>
        <w:t>Obstetrics/Gynecology Department.</w:t>
      </w:r>
      <w:proofErr w:type="gramEnd"/>
      <w:r w:rsidR="00E143FD">
        <w:t xml:space="preserve"> </w:t>
      </w:r>
      <w:r>
        <w:t xml:space="preserve">PMID: 26036902  </w:t>
      </w:r>
    </w:p>
    <w:p w:rsidR="00D23456" w:rsidRDefault="00D23456" w:rsidP="00D23456"/>
    <w:p w:rsidR="00D23456" w:rsidRDefault="00D23456" w:rsidP="00D23456"/>
    <w:p w:rsidR="00D23456" w:rsidRDefault="00D23456" w:rsidP="00D23456">
      <w:r>
        <w:t xml:space="preserve">13. </w:t>
      </w:r>
      <w:proofErr w:type="spellStart"/>
      <w:r>
        <w:t>Mutat</w:t>
      </w:r>
      <w:proofErr w:type="spellEnd"/>
      <w:r>
        <w:t xml:space="preserve"> Res. 2014 Dec</w:t>
      </w:r>
      <w:proofErr w:type="gramStart"/>
      <w:r>
        <w:t>;770:19</w:t>
      </w:r>
      <w:proofErr w:type="gramEnd"/>
      <w:r>
        <w:t>-28.</w:t>
      </w:r>
    </w:p>
    <w:p w:rsidR="00D23456" w:rsidRDefault="00D23456" w:rsidP="00D23456">
      <w:r w:rsidRPr="00D23456">
        <w:rPr>
          <w:b/>
        </w:rPr>
        <w:t>Diet and lifestyle factors modify immune/inflammation response genes to alter</w:t>
      </w:r>
      <w:r>
        <w:rPr>
          <w:b/>
        </w:rPr>
        <w:t xml:space="preserve"> </w:t>
      </w:r>
      <w:r w:rsidRPr="00D23456">
        <w:rPr>
          <w:b/>
        </w:rPr>
        <w:t>breast cancer risk and prognosis: the Breast Cancer Health Disparities Study.</w:t>
      </w:r>
      <w:r>
        <w:rPr>
          <w:b/>
        </w:rPr>
        <w:t xml:space="preserve"> </w:t>
      </w:r>
      <w:r>
        <w:t xml:space="preserve">Slattery ML, </w:t>
      </w:r>
      <w:proofErr w:type="spellStart"/>
      <w:r>
        <w:t>Lundgreen</w:t>
      </w:r>
      <w:proofErr w:type="spellEnd"/>
      <w:r>
        <w:t xml:space="preserve"> A, Torres-Mejia G, Wolff </w:t>
      </w:r>
    </w:p>
    <w:p w:rsidR="00D23456" w:rsidRDefault="00D23456" w:rsidP="00D23456"/>
    <w:p w:rsidR="00D23456" w:rsidRDefault="00D23456" w:rsidP="00D23456">
      <w:r>
        <w:t>Tumor necrosis factor-α (TNF) and toll-like receptors (TLR) are important</w:t>
      </w:r>
    </w:p>
    <w:p w:rsidR="00D23456" w:rsidRDefault="00D23456" w:rsidP="00D23456">
      <w:proofErr w:type="gramStart"/>
      <w:r>
        <w:t>mediators</w:t>
      </w:r>
      <w:proofErr w:type="gramEnd"/>
      <w:r>
        <w:t xml:space="preserve"> of inflammation. We examined 10 of these genes with respect to breast</w:t>
      </w:r>
    </w:p>
    <w:p w:rsidR="00D23456" w:rsidRDefault="00D23456" w:rsidP="00D23456">
      <w:proofErr w:type="gramStart"/>
      <w:r>
        <w:t>cancer</w:t>
      </w:r>
      <w:proofErr w:type="gramEnd"/>
      <w:r>
        <w:t xml:space="preserve"> risk and mortality in a genetically admixed population of Hispanic/Native </w:t>
      </w:r>
    </w:p>
    <w:p w:rsidR="00D23456" w:rsidRDefault="00D23456" w:rsidP="00D23456">
      <w:r>
        <w:t>American (NA) (2111 cases, 2597 controls) and non-Hispanic white (NHW) (1481</w:t>
      </w:r>
    </w:p>
    <w:p w:rsidR="00D23456" w:rsidRDefault="00D23456" w:rsidP="00D23456">
      <w:proofErr w:type="gramStart"/>
      <w:r>
        <w:t>cases</w:t>
      </w:r>
      <w:proofErr w:type="gramEnd"/>
      <w:r>
        <w:t>, 1585 controls) women. Additionally, we explored if diet and lifestyle</w:t>
      </w:r>
    </w:p>
    <w:p w:rsidR="00D23456" w:rsidRDefault="00D23456" w:rsidP="00D23456">
      <w:proofErr w:type="gramStart"/>
      <w:r>
        <w:t>factors</w:t>
      </w:r>
      <w:proofErr w:type="gramEnd"/>
      <w:r>
        <w:t xml:space="preserve"> modified associations with these genes. Overall, these genes</w:t>
      </w:r>
    </w:p>
    <w:p w:rsidR="00D23456" w:rsidRDefault="00D23456" w:rsidP="00D23456">
      <w:r>
        <w:t>(</w:t>
      </w:r>
      <w:proofErr w:type="gramStart"/>
      <w:r>
        <w:t>collectively</w:t>
      </w:r>
      <w:proofErr w:type="gramEnd"/>
      <w:r>
        <w:t>) were associated with breast cancer risk among women with &gt;70% NA</w:t>
      </w:r>
    </w:p>
    <w:p w:rsidR="00D23456" w:rsidRDefault="00D23456" w:rsidP="00D23456">
      <w:proofErr w:type="gramStart"/>
      <w:r>
        <w:t>ancestry</w:t>
      </w:r>
      <w:proofErr w:type="gramEnd"/>
      <w:r>
        <w:t xml:space="preserve"> (P(ARTP) = 0.0008), with TLR1 rs7696175 being the primary risk</w:t>
      </w:r>
    </w:p>
    <w:p w:rsidR="00D23456" w:rsidRDefault="00D23456" w:rsidP="00D23456">
      <w:proofErr w:type="gramStart"/>
      <w:r>
        <w:t>contributor</w:t>
      </w:r>
      <w:proofErr w:type="gramEnd"/>
      <w:r>
        <w:t xml:space="preserve"> (OR 1.77, 95% CI 1.25, 2.51). Overall, TLR1 rs7696175 (HR 1.40, 95%</w:t>
      </w:r>
    </w:p>
    <w:p w:rsidR="00D23456" w:rsidRDefault="00D23456" w:rsidP="00D23456">
      <w:r>
        <w:t xml:space="preserve">CI 1.03, 1.91; </w:t>
      </w:r>
      <w:proofErr w:type="gramStart"/>
      <w:r>
        <w:t>P(</w:t>
      </w:r>
      <w:proofErr w:type="spellStart"/>
      <w:proofErr w:type="gramEnd"/>
      <w:r>
        <w:t>adj</w:t>
      </w:r>
      <w:proofErr w:type="spellEnd"/>
      <w:r>
        <w:t>) = 0.032), TLR4 rs5030728 (HR 1.96, 95% CI 1.30, 2.95;</w:t>
      </w:r>
    </w:p>
    <w:p w:rsidR="00D23456" w:rsidRDefault="00D23456" w:rsidP="00D23456">
      <w:proofErr w:type="gramStart"/>
      <w:r>
        <w:t>P(</w:t>
      </w:r>
      <w:proofErr w:type="spellStart"/>
      <w:proofErr w:type="gramEnd"/>
      <w:r>
        <w:t>adj</w:t>
      </w:r>
      <w:proofErr w:type="spellEnd"/>
      <w:r>
        <w:t>) = 0.014), and TNFRSF1A rs4149578 (HR 2.71, 95% CI 1.28, 5.76; P(</w:t>
      </w:r>
      <w:proofErr w:type="spellStart"/>
      <w:r>
        <w:t>adj</w:t>
      </w:r>
      <w:proofErr w:type="spellEnd"/>
      <w:r>
        <w:t>) =</w:t>
      </w:r>
    </w:p>
    <w:p w:rsidR="00D23456" w:rsidRDefault="00D23456" w:rsidP="00D23456">
      <w:r>
        <w:t>0.029) were associated with increased breast cancer mortality. We observed</w:t>
      </w:r>
    </w:p>
    <w:p w:rsidR="00D23456" w:rsidRDefault="00D23456" w:rsidP="00D23456">
      <w:proofErr w:type="gramStart"/>
      <w:r>
        <w:t>several</w:t>
      </w:r>
      <w:proofErr w:type="gramEnd"/>
      <w:r>
        <w:t xml:space="preserve"> statistically significant interactions after adjustment for multiple</w:t>
      </w:r>
    </w:p>
    <w:p w:rsidR="00D23456" w:rsidRDefault="00D23456" w:rsidP="00D23456">
      <w:proofErr w:type="gramStart"/>
      <w:r>
        <w:t>comparisons</w:t>
      </w:r>
      <w:proofErr w:type="gramEnd"/>
      <w:r>
        <w:t>, including interactions between our dietary oxidative balance score</w:t>
      </w:r>
    </w:p>
    <w:p w:rsidR="00D23456" w:rsidRDefault="00D23456" w:rsidP="00D23456">
      <w:proofErr w:type="gramStart"/>
      <w:r>
        <w:t>and</w:t>
      </w:r>
      <w:proofErr w:type="gramEnd"/>
      <w:r>
        <w:t xml:space="preserve"> CD40LG and TNFSF1A; between cigarette smoking and TLR1, TLR4, and TNF;</w:t>
      </w:r>
    </w:p>
    <w:p w:rsidR="00D23456" w:rsidRDefault="00D23456" w:rsidP="00D23456">
      <w:proofErr w:type="gramStart"/>
      <w:r>
        <w:t>between</w:t>
      </w:r>
      <w:proofErr w:type="gramEnd"/>
      <w:r>
        <w:t xml:space="preserve"> body mass index (BMI) among pre-menopausal women and TRAF2; and between</w:t>
      </w:r>
    </w:p>
    <w:p w:rsidR="00D23456" w:rsidRDefault="00D23456" w:rsidP="00D23456">
      <w:proofErr w:type="gramStart"/>
      <w:r>
        <w:t>regular</w:t>
      </w:r>
      <w:proofErr w:type="gramEnd"/>
      <w:r>
        <w:t xml:space="preserve"> use of aspirin/non-steroidal anti-inflammatory drugs and TLR3 and TRA2.</w:t>
      </w:r>
    </w:p>
    <w:p w:rsidR="00D23456" w:rsidRDefault="00D23456" w:rsidP="00D23456">
      <w:r>
        <w:t xml:space="preserve">In conclusion, our findings support a contributing role of certain TNF-α and TLR </w:t>
      </w:r>
    </w:p>
    <w:p w:rsidR="00D23456" w:rsidRDefault="00D23456" w:rsidP="00D23456">
      <w:proofErr w:type="gramStart"/>
      <w:r>
        <w:t>genes</w:t>
      </w:r>
      <w:proofErr w:type="gramEnd"/>
      <w:r>
        <w:t xml:space="preserve"> in both breast cancer risk and survival, particularly among women with</w:t>
      </w:r>
    </w:p>
    <w:p w:rsidR="00D23456" w:rsidRDefault="00D23456" w:rsidP="00D23456">
      <w:proofErr w:type="gramStart"/>
      <w:r>
        <w:t>higher</w:t>
      </w:r>
      <w:proofErr w:type="gramEnd"/>
      <w:r>
        <w:t xml:space="preserve"> NA ancestry. Diet and lifestyle factors appear to be important mediators</w:t>
      </w:r>
    </w:p>
    <w:p w:rsidR="00D23456" w:rsidRDefault="00D23456" w:rsidP="00D23456">
      <w:proofErr w:type="gramStart"/>
      <w:r>
        <w:t>of</w:t>
      </w:r>
      <w:proofErr w:type="gramEnd"/>
      <w:r>
        <w:t xml:space="preserve"> the breast cancer risk associated with these genes.</w:t>
      </w:r>
      <w:r>
        <w:t xml:space="preserve"> PMID: 25332681  </w:t>
      </w:r>
    </w:p>
    <w:p w:rsidR="00D23456" w:rsidRDefault="00D23456" w:rsidP="00D23456"/>
    <w:p w:rsidR="00D23456" w:rsidRDefault="00D23456" w:rsidP="00D23456"/>
    <w:p w:rsidR="00D23456" w:rsidRDefault="00D23456" w:rsidP="00D23456">
      <w:r>
        <w:t>14. Cell Signal. 2014 Nov</w:t>
      </w:r>
      <w:proofErr w:type="gramStart"/>
      <w:r>
        <w:t>;26</w:t>
      </w:r>
      <w:proofErr w:type="gramEnd"/>
      <w:r>
        <w:t>(11):2350-7</w:t>
      </w:r>
    </w:p>
    <w:p w:rsidR="00D23456" w:rsidRDefault="00D23456" w:rsidP="00D23456">
      <w:r w:rsidRPr="00D23456">
        <w:rPr>
          <w:b/>
        </w:rPr>
        <w:t>TLRs: linking inflammation and breast cancer.</w:t>
      </w:r>
      <w:r>
        <w:rPr>
          <w:b/>
        </w:rPr>
        <w:t xml:space="preserve"> </w:t>
      </w:r>
      <w:proofErr w:type="spellStart"/>
      <w:r>
        <w:t>Bhatelia</w:t>
      </w:r>
      <w:proofErr w:type="spellEnd"/>
      <w:r>
        <w:t xml:space="preserve"> K</w:t>
      </w:r>
      <w:r>
        <w:t>, Singh K, Singh R</w:t>
      </w:r>
    </w:p>
    <w:p w:rsidR="00D23456" w:rsidRDefault="00D23456" w:rsidP="00D23456">
      <w:r>
        <w:t xml:space="preserve">Author information: Department of Bio-Chemistry, The M.S. University of Baroda, </w:t>
      </w:r>
      <w:r>
        <w:t xml:space="preserve">Gujarat, India. </w:t>
      </w:r>
    </w:p>
    <w:p w:rsidR="00D23456" w:rsidRDefault="00D23456" w:rsidP="00D23456"/>
    <w:p w:rsidR="00D23456" w:rsidRDefault="00D23456" w:rsidP="00D23456">
      <w:r>
        <w:t>Breast cancer is one of the leading causes of mortality in the females. Intensive</w:t>
      </w:r>
    </w:p>
    <w:p w:rsidR="00D23456" w:rsidRDefault="00D23456" w:rsidP="00D23456">
      <w:proofErr w:type="gramStart"/>
      <w:r>
        <w:t>efforts</w:t>
      </w:r>
      <w:proofErr w:type="gramEnd"/>
      <w:r>
        <w:t xml:space="preserve"> have been made to understand the molecular mechanisms of pathogenesis of </w:t>
      </w:r>
    </w:p>
    <w:p w:rsidR="00D23456" w:rsidRDefault="00D23456" w:rsidP="00D23456">
      <w:proofErr w:type="gramStart"/>
      <w:r>
        <w:t>breast</w:t>
      </w:r>
      <w:proofErr w:type="gramEnd"/>
      <w:r>
        <w:t xml:space="preserve"> cancer. The physiological conditions that lead to tumorigenesis including </w:t>
      </w:r>
    </w:p>
    <w:p w:rsidR="00D23456" w:rsidRDefault="00D23456" w:rsidP="00D23456">
      <w:proofErr w:type="gramStart"/>
      <w:r>
        <w:t>breast</w:t>
      </w:r>
      <w:proofErr w:type="gramEnd"/>
      <w:r>
        <w:t xml:space="preserve"> cancer are not well understood. Toll like receptors (TLRs) are essential</w:t>
      </w:r>
    </w:p>
    <w:p w:rsidR="00D23456" w:rsidRDefault="00D23456" w:rsidP="00D23456">
      <w:proofErr w:type="gramStart"/>
      <w:r>
        <w:t>components</w:t>
      </w:r>
      <w:proofErr w:type="gramEnd"/>
      <w:r>
        <w:t xml:space="preserve"> of innate immune system that protect the host against bacterial and</w:t>
      </w:r>
    </w:p>
    <w:p w:rsidR="00D23456" w:rsidRDefault="00D23456" w:rsidP="00D23456">
      <w:proofErr w:type="gramStart"/>
      <w:r>
        <w:t>viral</w:t>
      </w:r>
      <w:proofErr w:type="gramEnd"/>
      <w:r>
        <w:t xml:space="preserve"> infection. The emerging evidences suggest that TLRs are activated through</w:t>
      </w:r>
    </w:p>
    <w:p w:rsidR="00D23456" w:rsidRDefault="00D23456" w:rsidP="00D23456">
      <w:proofErr w:type="gramStart"/>
      <w:r>
        <w:t>pathogen</w:t>
      </w:r>
      <w:proofErr w:type="gramEnd"/>
      <w:r>
        <w:t xml:space="preserve"> associated molecular patterns (PAMPs) as well as endogenous molecules,</w:t>
      </w:r>
    </w:p>
    <w:p w:rsidR="00D23456" w:rsidRDefault="00D23456" w:rsidP="00D23456">
      <w:proofErr w:type="gramStart"/>
      <w:r>
        <w:t>which</w:t>
      </w:r>
      <w:proofErr w:type="gramEnd"/>
      <w:r>
        <w:t xml:space="preserve"> lead to the activation of inflammatory pathways. This leads to increased</w:t>
      </w:r>
    </w:p>
    <w:p w:rsidR="00D23456" w:rsidRDefault="00D23456" w:rsidP="00D23456">
      <w:proofErr w:type="gramStart"/>
      <w:r>
        <w:t>levels</w:t>
      </w:r>
      <w:proofErr w:type="gramEnd"/>
      <w:r>
        <w:t xml:space="preserve"> of several pro-inflammatory cytokines and chemokines mounting</w:t>
      </w:r>
    </w:p>
    <w:p w:rsidR="00D23456" w:rsidRDefault="00D23456" w:rsidP="00D23456">
      <w:proofErr w:type="gramStart"/>
      <w:r>
        <w:lastRenderedPageBreak/>
        <w:t>inflammation</w:t>
      </w:r>
      <w:proofErr w:type="gramEnd"/>
      <w:r>
        <w:t>. Several evidences support the view that chronic inflammation can</w:t>
      </w:r>
    </w:p>
    <w:p w:rsidR="00D23456" w:rsidRDefault="00D23456" w:rsidP="00D23456">
      <w:proofErr w:type="gramStart"/>
      <w:r>
        <w:t>lead</w:t>
      </w:r>
      <w:proofErr w:type="gramEnd"/>
      <w:r>
        <w:t xml:space="preserve"> to cancerous condition. Inflammation aids in tumor progression and</w:t>
      </w:r>
    </w:p>
    <w:p w:rsidR="00D23456" w:rsidRDefault="00D23456" w:rsidP="00D23456">
      <w:proofErr w:type="gramStart"/>
      <w:r>
        <w:t>metastasis</w:t>
      </w:r>
      <w:proofErr w:type="gramEnd"/>
      <w:r>
        <w:t>. Association of inflammation with breast cancer is emerging. TLR</w:t>
      </w:r>
    </w:p>
    <w:p w:rsidR="00D23456" w:rsidRDefault="00D23456" w:rsidP="00D23456">
      <w:proofErr w:type="gramStart"/>
      <w:r>
        <w:t>mediated</w:t>
      </w:r>
      <w:proofErr w:type="gramEnd"/>
      <w:r>
        <w:t xml:space="preserve"> activation of NF-</w:t>
      </w:r>
      <w:proofErr w:type="spellStart"/>
      <w:r>
        <w:t>κB</w:t>
      </w:r>
      <w:proofErr w:type="spellEnd"/>
      <w:r>
        <w:t xml:space="preserve"> and IRF is an essential link connecting inflammation</w:t>
      </w:r>
    </w:p>
    <w:p w:rsidR="00D23456" w:rsidRDefault="00D23456" w:rsidP="00D23456">
      <w:proofErr w:type="gramStart"/>
      <w:r>
        <w:t>to</w:t>
      </w:r>
      <w:proofErr w:type="gramEnd"/>
      <w:r>
        <w:t xml:space="preserve"> cancer. The recent reports provide several evidences, which suggest the</w:t>
      </w:r>
    </w:p>
    <w:p w:rsidR="00D23456" w:rsidRDefault="00D23456" w:rsidP="00D23456">
      <w:proofErr w:type="gramStart"/>
      <w:r>
        <w:t>important</w:t>
      </w:r>
      <w:proofErr w:type="gramEnd"/>
      <w:r>
        <w:t xml:space="preserve"> role of TLRs in breast cancer pathogenesis and recurrence. The current </w:t>
      </w:r>
    </w:p>
    <w:p w:rsidR="00D23456" w:rsidRDefault="00D23456" w:rsidP="00D23456">
      <w:proofErr w:type="gramStart"/>
      <w:r>
        <w:t>review</w:t>
      </w:r>
      <w:proofErr w:type="gramEnd"/>
      <w:r>
        <w:t xml:space="preserve"> focuses on emerging studies suggesting the strong linkages of TLR mediated</w:t>
      </w:r>
    </w:p>
    <w:p w:rsidR="00D23456" w:rsidRDefault="00D23456" w:rsidP="00D23456">
      <w:proofErr w:type="gramStart"/>
      <w:r>
        <w:t>regulation</w:t>
      </w:r>
      <w:proofErr w:type="gramEnd"/>
      <w:r>
        <w:t xml:space="preserve"> of inflammation during breast cancer and its metastasis emphasizing</w:t>
      </w:r>
    </w:p>
    <w:p w:rsidR="00D23456" w:rsidRDefault="00D23456" w:rsidP="00D23456">
      <w:proofErr w:type="gramStart"/>
      <w:r>
        <w:t>the</w:t>
      </w:r>
      <w:proofErr w:type="gramEnd"/>
      <w:r>
        <w:t xml:space="preserve"> initiation of the systematic study.</w:t>
      </w:r>
      <w:r>
        <w:t xml:space="preserve"> PMID: 25093807  </w:t>
      </w:r>
    </w:p>
    <w:p w:rsidR="00D23456" w:rsidRDefault="00D23456" w:rsidP="00D23456"/>
    <w:p w:rsidR="00D23456" w:rsidRDefault="00D23456" w:rsidP="00D23456"/>
    <w:p w:rsidR="00D23456" w:rsidRDefault="00D23456" w:rsidP="00D23456">
      <w:r>
        <w:t xml:space="preserve">15. </w:t>
      </w:r>
      <w:proofErr w:type="spellStart"/>
      <w:r>
        <w:t>Curr</w:t>
      </w:r>
      <w:proofErr w:type="spellEnd"/>
      <w:r>
        <w:t xml:space="preserve"> </w:t>
      </w:r>
      <w:proofErr w:type="spellStart"/>
      <w:r>
        <w:t>Opin</w:t>
      </w:r>
      <w:proofErr w:type="spellEnd"/>
      <w:r>
        <w:t xml:space="preserve"> </w:t>
      </w:r>
      <w:proofErr w:type="spellStart"/>
      <w:r>
        <w:t>Oncol</w:t>
      </w:r>
      <w:proofErr w:type="spellEnd"/>
      <w:r>
        <w:t>. 2014 Nov</w:t>
      </w:r>
      <w:proofErr w:type="gramStart"/>
      <w:r>
        <w:t>;26</w:t>
      </w:r>
      <w:proofErr w:type="gramEnd"/>
      <w:r>
        <w:t>(6):545-50.</w:t>
      </w:r>
    </w:p>
    <w:p w:rsidR="00D23456" w:rsidRPr="00D23456" w:rsidRDefault="00D23456" w:rsidP="00D23456">
      <w:pPr>
        <w:rPr>
          <w:b/>
        </w:rPr>
      </w:pPr>
      <w:proofErr w:type="gramStart"/>
      <w:r w:rsidRPr="00D23456">
        <w:rPr>
          <w:b/>
        </w:rPr>
        <w:t xml:space="preserve">Obesity, </w:t>
      </w:r>
      <w:proofErr w:type="spellStart"/>
      <w:r w:rsidRPr="00D23456">
        <w:rPr>
          <w:b/>
        </w:rPr>
        <w:t>proinflammatory</w:t>
      </w:r>
      <w:proofErr w:type="spellEnd"/>
      <w:r w:rsidRPr="00D23456">
        <w:rPr>
          <w:b/>
        </w:rPr>
        <w:t xml:space="preserve"> mediators, adipose tissue progenitors, and breast</w:t>
      </w:r>
      <w:r>
        <w:rPr>
          <w:b/>
        </w:rPr>
        <w:t xml:space="preserve"> </w:t>
      </w:r>
      <w:r w:rsidRPr="00D23456">
        <w:rPr>
          <w:b/>
        </w:rPr>
        <w:t>cancer.</w:t>
      </w:r>
      <w:proofErr w:type="gramEnd"/>
    </w:p>
    <w:p w:rsidR="00D23456" w:rsidRDefault="00D23456" w:rsidP="00D23456">
      <w:proofErr w:type="spellStart"/>
      <w:r>
        <w:t>Bertolini</w:t>
      </w:r>
      <w:proofErr w:type="spellEnd"/>
      <w:r>
        <w:t xml:space="preserve">, </w:t>
      </w:r>
      <w:proofErr w:type="spellStart"/>
      <w:r>
        <w:t>Orecchioni</w:t>
      </w:r>
      <w:proofErr w:type="spellEnd"/>
      <w:r>
        <w:t xml:space="preserve"> S, Petit JY, </w:t>
      </w:r>
      <w:proofErr w:type="spellStart"/>
      <w:r>
        <w:t>Kolonin</w:t>
      </w:r>
      <w:proofErr w:type="spellEnd"/>
      <w:r>
        <w:t xml:space="preserve"> MG.</w:t>
      </w:r>
    </w:p>
    <w:p w:rsidR="00D23456" w:rsidRDefault="00D23456" w:rsidP="00D23456">
      <w:r>
        <w:t>Author information: Laboratory of Hematology-Oncology, European</w:t>
      </w:r>
      <w:r>
        <w:t xml:space="preserve"> </w:t>
      </w:r>
      <w:r>
        <w:t>Institute of Oncology, Milan, Italy</w:t>
      </w:r>
    </w:p>
    <w:p w:rsidR="00D23456" w:rsidRDefault="00D23456" w:rsidP="00D23456"/>
    <w:p w:rsidR="00D23456" w:rsidRDefault="00D23456" w:rsidP="00D23456">
      <w:r>
        <w:t xml:space="preserve">PURPOSE OF REVIEW: There is emerging evidence that obesity is associated with an </w:t>
      </w:r>
    </w:p>
    <w:p w:rsidR="00D23456" w:rsidRDefault="00D23456" w:rsidP="00D23456">
      <w:proofErr w:type="gramStart"/>
      <w:r>
        <w:t>increase</w:t>
      </w:r>
      <w:proofErr w:type="gramEnd"/>
      <w:r>
        <w:t xml:space="preserve"> in the incidence, severity, and mortality from different types of</w:t>
      </w:r>
    </w:p>
    <w:p w:rsidR="00D23456" w:rsidRDefault="00D23456" w:rsidP="00D23456">
      <w:proofErr w:type="gramStart"/>
      <w:r>
        <w:t>cancer</w:t>
      </w:r>
      <w:proofErr w:type="gramEnd"/>
      <w:r>
        <w:t>, including postmenopausal breast cancer. Here, we discuss the role of</w:t>
      </w:r>
    </w:p>
    <w:p w:rsidR="00D23456" w:rsidRDefault="00D23456" w:rsidP="00D23456">
      <w:proofErr w:type="gramStart"/>
      <w:r>
        <w:t>white</w:t>
      </w:r>
      <w:proofErr w:type="gramEnd"/>
      <w:r>
        <w:t xml:space="preserve"> adipose tissue (WAT) cells and of related soluble factors in the local and </w:t>
      </w:r>
    </w:p>
    <w:p w:rsidR="00D23456" w:rsidRDefault="00D23456" w:rsidP="00D23456">
      <w:proofErr w:type="gramStart"/>
      <w:r>
        <w:t>metastatic</w:t>
      </w:r>
      <w:proofErr w:type="gramEnd"/>
      <w:r>
        <w:t xml:space="preserve"> growth of this neoplastic disease. Moreover, we discuss the recent</w:t>
      </w:r>
    </w:p>
    <w:p w:rsidR="00D23456" w:rsidRDefault="00D23456" w:rsidP="00D23456">
      <w:proofErr w:type="gramStart"/>
      <w:r>
        <w:t>increase</w:t>
      </w:r>
      <w:proofErr w:type="gramEnd"/>
      <w:r>
        <w:t xml:space="preserve"> in the use of WAT-derived progenitor cells in breast cancer patients to </w:t>
      </w:r>
    </w:p>
    <w:p w:rsidR="00D23456" w:rsidRDefault="00D23456" w:rsidP="00D23456">
      <w:proofErr w:type="gramStart"/>
      <w:r>
        <w:t>enhance</w:t>
      </w:r>
      <w:proofErr w:type="gramEnd"/>
      <w:r>
        <w:t xml:space="preserve"> the quality of breast reconstruction and the related risks.</w:t>
      </w:r>
    </w:p>
    <w:p w:rsidR="00D23456" w:rsidRDefault="00D23456" w:rsidP="00D23456">
      <w:r>
        <w:t>RECENT FINDINGS: In several murine models, WAT cells and progenitors were found</w:t>
      </w:r>
    </w:p>
    <w:p w:rsidR="00D23456" w:rsidRDefault="00D23456" w:rsidP="00D23456">
      <w:proofErr w:type="gramStart"/>
      <w:r>
        <w:t>to</w:t>
      </w:r>
      <w:proofErr w:type="gramEnd"/>
      <w:r>
        <w:t xml:space="preserve"> have cooperative roles in promoting local breast cancer. Moreover, they were</w:t>
      </w:r>
    </w:p>
    <w:p w:rsidR="00D23456" w:rsidRDefault="00D23456" w:rsidP="00D23456">
      <w:proofErr w:type="gramStart"/>
      <w:r>
        <w:t>found</w:t>
      </w:r>
      <w:proofErr w:type="gramEnd"/>
      <w:r>
        <w:t xml:space="preserve"> to contribute to adipocytes and </w:t>
      </w:r>
      <w:proofErr w:type="spellStart"/>
      <w:r>
        <w:t>pericytes</w:t>
      </w:r>
      <w:proofErr w:type="spellEnd"/>
      <w:r>
        <w:t xml:space="preserve"> supporting the cancer</w:t>
      </w:r>
    </w:p>
    <w:p w:rsidR="00D23456" w:rsidRDefault="00D23456" w:rsidP="00D23456">
      <w:proofErr w:type="gramStart"/>
      <w:r>
        <w:t>vasculature</w:t>
      </w:r>
      <w:proofErr w:type="gramEnd"/>
      <w:r>
        <w:t>, and stimulated the metastatic progression of breast cancer. There</w:t>
      </w:r>
    </w:p>
    <w:p w:rsidR="00D23456" w:rsidRDefault="00D23456" w:rsidP="00D23456">
      <w:proofErr w:type="gramStart"/>
      <w:r>
        <w:t>are</w:t>
      </w:r>
      <w:proofErr w:type="gramEnd"/>
      <w:r>
        <w:t xml:space="preserve"> some clinically retrospective data showing a significant increase in the</w:t>
      </w:r>
    </w:p>
    <w:p w:rsidR="00D23456" w:rsidRDefault="00D23456" w:rsidP="00D23456">
      <w:proofErr w:type="gramStart"/>
      <w:r>
        <w:t>frequency</w:t>
      </w:r>
      <w:proofErr w:type="gramEnd"/>
      <w:r>
        <w:t xml:space="preserve"> of intraepithelial neoplasia in patients who received a </w:t>
      </w:r>
      <w:proofErr w:type="spellStart"/>
      <w:r>
        <w:t>lipofilling</w:t>
      </w:r>
      <w:proofErr w:type="spellEnd"/>
    </w:p>
    <w:p w:rsidR="00D23456" w:rsidRDefault="00D23456" w:rsidP="00D23456">
      <w:proofErr w:type="gramStart"/>
      <w:r>
        <w:t>procedure</w:t>
      </w:r>
      <w:proofErr w:type="gramEnd"/>
      <w:r>
        <w:t xml:space="preserve"> for breast reconstruction compared with controls.</w:t>
      </w:r>
    </w:p>
    <w:p w:rsidR="00D23456" w:rsidRDefault="00D23456" w:rsidP="00D23456">
      <w:r>
        <w:t>SUMMARY: Preclinical models and clinical studies are urgently needed to</w:t>
      </w:r>
    </w:p>
    <w:p w:rsidR="00D23456" w:rsidRDefault="00D23456" w:rsidP="00D23456">
      <w:proofErr w:type="gramStart"/>
      <w:r>
        <w:t>investigate</w:t>
      </w:r>
      <w:proofErr w:type="gramEnd"/>
      <w:r>
        <w:t xml:space="preserve"> how to inhibit the tumor-promoting activity of WAT cells and</w:t>
      </w:r>
    </w:p>
    <w:p w:rsidR="00D23456" w:rsidRDefault="00D23456" w:rsidP="00D23456">
      <w:proofErr w:type="gramStart"/>
      <w:r>
        <w:t>progenitors</w:t>
      </w:r>
      <w:proofErr w:type="gramEnd"/>
      <w:r>
        <w:t>. The risks associated with the use of WAT cells for breast</w:t>
      </w:r>
    </w:p>
    <w:p w:rsidR="00D23456" w:rsidRDefault="00D23456" w:rsidP="00D23456">
      <w:proofErr w:type="gramStart"/>
      <w:r>
        <w:t>reconstructions</w:t>
      </w:r>
      <w:proofErr w:type="gramEnd"/>
      <w:r>
        <w:t xml:space="preserve"> should be better investigated retrospectively and prospectively.</w:t>
      </w:r>
      <w:r>
        <w:t xml:space="preserve"> PMID: 25279961  </w:t>
      </w:r>
    </w:p>
    <w:p w:rsidR="00D23456" w:rsidRDefault="00D23456" w:rsidP="00D23456"/>
    <w:p w:rsidR="00D23456" w:rsidRDefault="00D23456" w:rsidP="00D23456"/>
    <w:p w:rsidR="00D23456" w:rsidRDefault="00D23456" w:rsidP="00D23456">
      <w:r>
        <w:t>16. Cancer Res. 2014 Jun 15</w:t>
      </w:r>
      <w:proofErr w:type="gramStart"/>
      <w:r>
        <w:t>;74</w:t>
      </w:r>
      <w:proofErr w:type="gramEnd"/>
      <w:r>
        <w:t xml:space="preserve">(12):3248-58. </w:t>
      </w:r>
    </w:p>
    <w:p w:rsidR="00D23456" w:rsidRPr="00D23456" w:rsidRDefault="00D23456" w:rsidP="00D23456">
      <w:pPr>
        <w:rPr>
          <w:b/>
        </w:rPr>
      </w:pPr>
      <w:proofErr w:type="gramStart"/>
      <w:r w:rsidRPr="00D23456">
        <w:rPr>
          <w:b/>
        </w:rPr>
        <w:t>Insulin, estrogen, inflammatory markers, and risk of benign proliferative breast disease.</w:t>
      </w:r>
      <w:proofErr w:type="gramEnd"/>
    </w:p>
    <w:p w:rsidR="00D23456" w:rsidRDefault="00D23456" w:rsidP="00D23456">
      <w:proofErr w:type="spellStart"/>
      <w:r>
        <w:t>Catsburg</w:t>
      </w:r>
      <w:proofErr w:type="spellEnd"/>
      <w:r>
        <w:t xml:space="preserve"> C, Gunter MJ, Chen C, Cote ML</w:t>
      </w:r>
      <w:r>
        <w:t xml:space="preserve">, </w:t>
      </w:r>
      <w:proofErr w:type="spellStart"/>
      <w:r>
        <w:t>Kabat</w:t>
      </w:r>
      <w:proofErr w:type="spellEnd"/>
      <w:r>
        <w:t xml:space="preserve"> GC, Nassir R</w:t>
      </w:r>
    </w:p>
    <w:p w:rsidR="00D23456" w:rsidRDefault="00D23456" w:rsidP="00D23456"/>
    <w:p w:rsidR="00D23456" w:rsidRDefault="00D23456" w:rsidP="00D23456">
      <w:r>
        <w:t>Author information: Department of Epidemiology and Population Health,</w:t>
      </w:r>
      <w:r>
        <w:t xml:space="preserve"> </w:t>
      </w:r>
      <w:r>
        <w:t>Albert Einstein Coll</w:t>
      </w:r>
      <w:r>
        <w:t>ege of Medicine, Bronx</w:t>
      </w:r>
    </w:p>
    <w:p w:rsidR="00D23456" w:rsidRDefault="00D23456" w:rsidP="00D23456"/>
    <w:p w:rsidR="00D23456" w:rsidRDefault="00D23456" w:rsidP="00D23456">
      <w:r>
        <w:t>Women with benign proliferative breast disease (BPBD) are at increased risk for</w:t>
      </w:r>
    </w:p>
    <w:p w:rsidR="00D23456" w:rsidRDefault="00D23456" w:rsidP="00D23456">
      <w:proofErr w:type="gramStart"/>
      <w:r>
        <w:t>developing</w:t>
      </w:r>
      <w:proofErr w:type="gramEnd"/>
      <w:r>
        <w:t xml:space="preserve"> breast cancer. Evidence suggests that accumulation of adipose tissue</w:t>
      </w:r>
    </w:p>
    <w:p w:rsidR="00D23456" w:rsidRDefault="00D23456" w:rsidP="00D23456">
      <w:proofErr w:type="gramStart"/>
      <w:r>
        <w:t>can</w:t>
      </w:r>
      <w:proofErr w:type="gramEnd"/>
      <w:r>
        <w:t xml:space="preserve"> influence breast cancer development via hyperinsulinemia, increased estrogen,</w:t>
      </w:r>
    </w:p>
    <w:p w:rsidR="00D23456" w:rsidRDefault="00D23456" w:rsidP="00D23456">
      <w:proofErr w:type="gramStart"/>
      <w:r>
        <w:t>and/or</w:t>
      </w:r>
      <w:proofErr w:type="gramEnd"/>
      <w:r>
        <w:t xml:space="preserve"> inflammation. However, there are limited data investigating these pathways</w:t>
      </w:r>
    </w:p>
    <w:p w:rsidR="00D23456" w:rsidRDefault="00D23456" w:rsidP="00D23456">
      <w:proofErr w:type="gramStart"/>
      <w:r>
        <w:t>with</w:t>
      </w:r>
      <w:proofErr w:type="gramEnd"/>
      <w:r>
        <w:t xml:space="preserve"> respect to risk of BPBD. We evaluated serologic markers from these pathways </w:t>
      </w:r>
    </w:p>
    <w:p w:rsidR="00D23456" w:rsidRDefault="00D23456" w:rsidP="00D23456">
      <w:proofErr w:type="gramStart"/>
      <w:r>
        <w:t>in</w:t>
      </w:r>
      <w:proofErr w:type="gramEnd"/>
      <w:r>
        <w:t xml:space="preserve"> a case-control study of postmenopausal women nested within the Women's Health </w:t>
      </w:r>
    </w:p>
    <w:p w:rsidR="00D23456" w:rsidRDefault="00D23456" w:rsidP="00D23456">
      <w:proofErr w:type="gramStart"/>
      <w:r>
        <w:t>Initiative Clinical Trial.</w:t>
      </w:r>
      <w:proofErr w:type="gramEnd"/>
      <w:r>
        <w:t xml:space="preserve"> Cases were the 667 women who developed BPBD during</w:t>
      </w:r>
    </w:p>
    <w:p w:rsidR="00D23456" w:rsidRDefault="00D23456" w:rsidP="00D23456">
      <w:proofErr w:type="gramStart"/>
      <w:r>
        <w:t>follow-up</w:t>
      </w:r>
      <w:proofErr w:type="gramEnd"/>
      <w:r>
        <w:t>, and they were matched to 1,321 controls. Levels of insulin, estradiol,</w:t>
      </w:r>
    </w:p>
    <w:p w:rsidR="00D23456" w:rsidRDefault="00D23456" w:rsidP="00D23456">
      <w:proofErr w:type="gramStart"/>
      <w:r>
        <w:t>C-reactive protein (CRP),</w:t>
      </w:r>
      <w:proofErr w:type="gramEnd"/>
      <w:r>
        <w:t xml:space="preserve"> and adiponectin were measured in fasting serum</w:t>
      </w:r>
    </w:p>
    <w:p w:rsidR="00D23456" w:rsidRDefault="00D23456" w:rsidP="00D23456">
      <w:proofErr w:type="gramStart"/>
      <w:r>
        <w:lastRenderedPageBreak/>
        <w:t>collected</w:t>
      </w:r>
      <w:proofErr w:type="gramEnd"/>
      <w:r>
        <w:t xml:space="preserve"> at baseline. Conditional logistic regression models were used to</w:t>
      </w:r>
    </w:p>
    <w:p w:rsidR="00D23456" w:rsidRDefault="00D23456" w:rsidP="00D23456">
      <w:proofErr w:type="gramStart"/>
      <w:r>
        <w:t>estimate</w:t>
      </w:r>
      <w:proofErr w:type="gramEnd"/>
      <w:r>
        <w:t xml:space="preserve"> ORs for the association of each factor with BPBD risk. Among nonusers of</w:t>
      </w:r>
    </w:p>
    <w:p w:rsidR="00D23456" w:rsidRDefault="00D23456" w:rsidP="00D23456">
      <w:proofErr w:type="gramStart"/>
      <w:r>
        <w:t>hormone</w:t>
      </w:r>
      <w:proofErr w:type="gramEnd"/>
      <w:r>
        <w:t xml:space="preserve"> therapy, fasting serum insulin was associated with a statistically</w:t>
      </w:r>
    </w:p>
    <w:p w:rsidR="00D23456" w:rsidRDefault="00D23456" w:rsidP="00D23456">
      <w:proofErr w:type="gramStart"/>
      <w:r>
        <w:t>significant</w:t>
      </w:r>
      <w:proofErr w:type="gramEnd"/>
      <w:r>
        <w:t xml:space="preserve"> increase in risk of BPBD (OR for highest vs. lowest quartile = 1.80; </w:t>
      </w:r>
    </w:p>
    <w:p w:rsidR="00D23456" w:rsidRDefault="00D23456" w:rsidP="00D23456">
      <w:r>
        <w:t xml:space="preserve">95% confidence interval, CI, 1.16-2.79; </w:t>
      </w:r>
      <w:proofErr w:type="spellStart"/>
      <w:r>
        <w:t>Ptrend</w:t>
      </w:r>
      <w:proofErr w:type="spellEnd"/>
      <w:r>
        <w:t xml:space="preserve"> = 0.003) as were levels of</w:t>
      </w:r>
    </w:p>
    <w:p w:rsidR="00D23456" w:rsidRDefault="00D23456" w:rsidP="00D23456">
      <w:proofErr w:type="gramStart"/>
      <w:r>
        <w:t>estradiol</w:t>
      </w:r>
      <w:proofErr w:type="gramEnd"/>
      <w:r>
        <w:t xml:space="preserve"> (OR for highest vs. lowest </w:t>
      </w:r>
      <w:proofErr w:type="spellStart"/>
      <w:r>
        <w:t>tertile</w:t>
      </w:r>
      <w:proofErr w:type="spellEnd"/>
      <w:r>
        <w:t xml:space="preserve"> = 1.89; 95% CI, 1.26-2.83; </w:t>
      </w:r>
      <w:proofErr w:type="spellStart"/>
      <w:r>
        <w:t>Ptrend</w:t>
      </w:r>
      <w:proofErr w:type="spellEnd"/>
      <w:r>
        <w:t xml:space="preserve"> = </w:t>
      </w:r>
    </w:p>
    <w:p w:rsidR="00D23456" w:rsidRDefault="00D23456" w:rsidP="00D23456">
      <w:r>
        <w:t>0.02) and CRP (OR for highest vs. lowest quartile = 2.46; 95% CI, 1.59-3.80;</w:t>
      </w:r>
    </w:p>
    <w:p w:rsidR="00D23456" w:rsidRDefault="00D23456" w:rsidP="00D23456">
      <w:proofErr w:type="spellStart"/>
      <w:proofErr w:type="gramStart"/>
      <w:r>
        <w:t>Ptrend</w:t>
      </w:r>
      <w:proofErr w:type="spellEnd"/>
      <w:r>
        <w:t xml:space="preserve"> &lt; 0.001).</w:t>
      </w:r>
      <w:proofErr w:type="gramEnd"/>
      <w:r>
        <w:t xml:space="preserve"> Baseline adiponectin level was inversely associated with BPBD</w:t>
      </w:r>
    </w:p>
    <w:p w:rsidR="00D23456" w:rsidRDefault="00D23456" w:rsidP="00D23456">
      <w:proofErr w:type="gramStart"/>
      <w:r>
        <w:t>risk</w:t>
      </w:r>
      <w:proofErr w:type="gramEnd"/>
      <w:r>
        <w:t xml:space="preserve"> (OR for highest vs. lowest quartile = 0.47; 95% CI, 0.31-0.71; </w:t>
      </w:r>
      <w:proofErr w:type="spellStart"/>
      <w:r>
        <w:t>Ptrend</w:t>
      </w:r>
      <w:proofErr w:type="spellEnd"/>
      <w:r>
        <w:t xml:space="preserve"> &lt;</w:t>
      </w:r>
    </w:p>
    <w:p w:rsidR="00D23456" w:rsidRDefault="00D23456" w:rsidP="00D23456">
      <w:r>
        <w:t xml:space="preserve">0.001). </w:t>
      </w:r>
      <w:proofErr w:type="gramStart"/>
      <w:r>
        <w:t>These</w:t>
      </w:r>
      <w:proofErr w:type="gramEnd"/>
      <w:r>
        <w:t xml:space="preserve"> associations persisted after mutual adjustment, but were not</w:t>
      </w:r>
    </w:p>
    <w:p w:rsidR="00D23456" w:rsidRDefault="00D23456" w:rsidP="00D23456">
      <w:proofErr w:type="gramStart"/>
      <w:r>
        <w:t>observed</w:t>
      </w:r>
      <w:proofErr w:type="gramEnd"/>
      <w:r>
        <w:t xml:space="preserve"> among users of either estrogen alone or of estrogen plus progestin</w:t>
      </w:r>
    </w:p>
    <w:p w:rsidR="00D23456" w:rsidRDefault="00D23456" w:rsidP="00D23456">
      <w:proofErr w:type="gramStart"/>
      <w:r>
        <w:t>hormone</w:t>
      </w:r>
      <w:proofErr w:type="gramEnd"/>
      <w:r>
        <w:t xml:space="preserve"> therapy. Our results indicate that serum levels of estrogen, insulin,</w:t>
      </w:r>
    </w:p>
    <w:p w:rsidR="00D23456" w:rsidRDefault="00D23456" w:rsidP="00D23456">
      <w:r>
        <w:t>CRP, and adiponectin are independent risk factors for BPBD and suggest that the</w:t>
      </w:r>
    </w:p>
    <w:p w:rsidR="00D23456" w:rsidRDefault="00D23456" w:rsidP="00D23456">
      <w:proofErr w:type="gramStart"/>
      <w:r>
        <w:t>estrogen</w:t>
      </w:r>
      <w:proofErr w:type="gramEnd"/>
      <w:r>
        <w:t>, insulin, and inflammation pathways are associated with the early stages</w:t>
      </w:r>
    </w:p>
    <w:p w:rsidR="00D23456" w:rsidRDefault="00D23456" w:rsidP="00D23456">
      <w:proofErr w:type="gramStart"/>
      <w:r>
        <w:t>of</w:t>
      </w:r>
      <w:proofErr w:type="gramEnd"/>
      <w:r>
        <w:t xml:space="preserve"> breast cancer development.</w:t>
      </w:r>
      <w:r>
        <w:t xml:space="preserve"> PMID: 24755474  </w:t>
      </w:r>
    </w:p>
    <w:p w:rsidR="00D23456" w:rsidRDefault="00D23456" w:rsidP="00D23456"/>
    <w:p w:rsidR="00D23456" w:rsidRDefault="00D23456" w:rsidP="00D23456"/>
    <w:p w:rsidR="00D23456" w:rsidRDefault="00D23456" w:rsidP="00D23456">
      <w:r>
        <w:t xml:space="preserve">17. </w:t>
      </w:r>
      <w:proofErr w:type="spellStart"/>
      <w:r>
        <w:t>Mol</w:t>
      </w:r>
      <w:proofErr w:type="spellEnd"/>
      <w:r>
        <w:t xml:space="preserve"> Cell </w:t>
      </w:r>
      <w:proofErr w:type="spellStart"/>
      <w:r>
        <w:t>Endocrinol</w:t>
      </w:r>
      <w:proofErr w:type="spellEnd"/>
      <w:r>
        <w:t>. 2014 Jan 25</w:t>
      </w:r>
      <w:proofErr w:type="gramStart"/>
      <w:r>
        <w:t>;382</w:t>
      </w:r>
      <w:proofErr w:type="gramEnd"/>
      <w:r>
        <w:t xml:space="preserve">(1):673-82. </w:t>
      </w:r>
    </w:p>
    <w:p w:rsidR="00D23456" w:rsidRDefault="00D23456" w:rsidP="00D23456">
      <w:proofErr w:type="gramStart"/>
      <w:r w:rsidRPr="00D23456">
        <w:rPr>
          <w:b/>
        </w:rPr>
        <w:t>The immune system and inflammation in breast cancer.</w:t>
      </w:r>
      <w:proofErr w:type="gramEnd"/>
      <w:r>
        <w:rPr>
          <w:b/>
        </w:rPr>
        <w:t xml:space="preserve"> </w:t>
      </w:r>
      <w:proofErr w:type="gramStart"/>
      <w:r>
        <w:t>Jiang X</w:t>
      </w:r>
      <w:r>
        <w:t>, Shapiro DJ.</w:t>
      </w:r>
      <w:proofErr w:type="gramEnd"/>
    </w:p>
    <w:p w:rsidR="00D23456" w:rsidRDefault="00D23456" w:rsidP="00D23456"/>
    <w:p w:rsidR="00D23456" w:rsidRDefault="00D23456" w:rsidP="00D23456">
      <w:r>
        <w:t>Author information: Department of Medicine, VA Palo Alto Health Care System/Stanford University</w:t>
      </w:r>
    </w:p>
    <w:p w:rsidR="00D23456" w:rsidRDefault="00D23456" w:rsidP="00D23456">
      <w:r>
        <w:t xml:space="preserve">School of Medicine, Stanford, CA </w:t>
      </w:r>
    </w:p>
    <w:p w:rsidR="00D23456" w:rsidRDefault="00D23456" w:rsidP="00D23456"/>
    <w:p w:rsidR="00D23456" w:rsidRDefault="00D23456" w:rsidP="00D23456">
      <w:r>
        <w:t>During different stages of tumor development the immune system can either</w:t>
      </w:r>
    </w:p>
    <w:p w:rsidR="00D23456" w:rsidRDefault="00D23456" w:rsidP="00D23456">
      <w:proofErr w:type="gramStart"/>
      <w:r>
        <w:t>identify</w:t>
      </w:r>
      <w:proofErr w:type="gramEnd"/>
      <w:r>
        <w:t xml:space="preserve"> and destroy tumors, or promote their growth. Therapies targeting the</w:t>
      </w:r>
    </w:p>
    <w:p w:rsidR="00D23456" w:rsidRDefault="00D23456" w:rsidP="00D23456">
      <w:proofErr w:type="gramStart"/>
      <w:r>
        <w:t>immune</w:t>
      </w:r>
      <w:proofErr w:type="gramEnd"/>
      <w:r>
        <w:t xml:space="preserve"> system have emerged as a promising treatment modality for breast cancer,</w:t>
      </w:r>
    </w:p>
    <w:p w:rsidR="00D23456" w:rsidRDefault="00D23456" w:rsidP="00D23456">
      <w:proofErr w:type="gramStart"/>
      <w:r>
        <w:t>and</w:t>
      </w:r>
      <w:proofErr w:type="gramEnd"/>
      <w:r>
        <w:t xml:space="preserve"> immunotherapeutic strategies are being examined in preclinical and clinical</w:t>
      </w:r>
    </w:p>
    <w:p w:rsidR="00D23456" w:rsidRDefault="00D23456" w:rsidP="00D23456">
      <w:proofErr w:type="gramStart"/>
      <w:r>
        <w:t>models</w:t>
      </w:r>
      <w:proofErr w:type="gramEnd"/>
      <w:r>
        <w:t xml:space="preserve">. However, our understanding of the complex interplay between cells of the </w:t>
      </w:r>
    </w:p>
    <w:p w:rsidR="00D23456" w:rsidRDefault="00D23456" w:rsidP="00D23456">
      <w:proofErr w:type="gramStart"/>
      <w:r>
        <w:t>immune</w:t>
      </w:r>
      <w:proofErr w:type="gramEnd"/>
      <w:r>
        <w:t xml:space="preserve"> system and breast cancer cells is incomplete. In this article, we review</w:t>
      </w:r>
    </w:p>
    <w:p w:rsidR="00D23456" w:rsidRDefault="00D23456" w:rsidP="00D23456">
      <w:proofErr w:type="gramStart"/>
      <w:r>
        <w:t>recent</w:t>
      </w:r>
      <w:proofErr w:type="gramEnd"/>
      <w:r>
        <w:t xml:space="preserve"> findings showing how the immune system plays dual host-protective and</w:t>
      </w:r>
    </w:p>
    <w:p w:rsidR="00D23456" w:rsidRDefault="00D23456" w:rsidP="00D23456">
      <w:proofErr w:type="gramStart"/>
      <w:r>
        <w:t>tumor-promoting</w:t>
      </w:r>
      <w:proofErr w:type="gramEnd"/>
      <w:r>
        <w:t xml:space="preserve"> roles in breast cancer initiation and progression. We then</w:t>
      </w:r>
    </w:p>
    <w:p w:rsidR="00D23456" w:rsidRDefault="00D23456" w:rsidP="00D23456">
      <w:proofErr w:type="gramStart"/>
      <w:r>
        <w:t>discuss</w:t>
      </w:r>
      <w:proofErr w:type="gramEnd"/>
      <w:r>
        <w:t xml:space="preserve"> estrogen receptor α (ERα)-dependent and ERα-independent mechanisms that</w:t>
      </w:r>
    </w:p>
    <w:p w:rsidR="00D23456" w:rsidRDefault="00D23456" w:rsidP="00D23456">
      <w:proofErr w:type="gramStart"/>
      <w:r>
        <w:t>shield</w:t>
      </w:r>
      <w:proofErr w:type="gramEnd"/>
      <w:r>
        <w:t xml:space="preserve"> breast cancers from </w:t>
      </w:r>
      <w:proofErr w:type="spellStart"/>
      <w:r>
        <w:t>immunosurveillance</w:t>
      </w:r>
      <w:proofErr w:type="spellEnd"/>
      <w:r>
        <w:t xml:space="preserve"> and enable breast cancer cells to</w:t>
      </w:r>
    </w:p>
    <w:p w:rsidR="00D23456" w:rsidRDefault="00D23456" w:rsidP="00D23456">
      <w:proofErr w:type="gramStart"/>
      <w:r>
        <w:t>evade</w:t>
      </w:r>
      <w:proofErr w:type="gramEnd"/>
      <w:r>
        <w:t xml:space="preserve"> immune cell induced apoptosis and produce an immunosuppressive tumor</w:t>
      </w:r>
    </w:p>
    <w:p w:rsidR="00D23456" w:rsidRDefault="00D23456" w:rsidP="00D23456">
      <w:proofErr w:type="gramStart"/>
      <w:r>
        <w:t>microenvironment</w:t>
      </w:r>
      <w:proofErr w:type="gramEnd"/>
      <w:r>
        <w:t xml:space="preserve">. Finally, we discuss </w:t>
      </w:r>
      <w:proofErr w:type="spellStart"/>
      <w:r>
        <w:t>protumorigenic</w:t>
      </w:r>
      <w:proofErr w:type="spellEnd"/>
      <w:r>
        <w:t xml:space="preserve"> inflammation that is induced</w:t>
      </w:r>
    </w:p>
    <w:p w:rsidR="00D23456" w:rsidRDefault="00D23456" w:rsidP="00D23456">
      <w:proofErr w:type="gramStart"/>
      <w:r>
        <w:t>during</w:t>
      </w:r>
      <w:proofErr w:type="gramEnd"/>
      <w:r>
        <w:t xml:space="preserve"> tumor progression and therapy, and how inflammation promotes more</w:t>
      </w:r>
    </w:p>
    <w:p w:rsidR="00D23456" w:rsidRDefault="00D23456" w:rsidP="00D23456">
      <w:proofErr w:type="gramStart"/>
      <w:r>
        <w:t>aggressive</w:t>
      </w:r>
      <w:proofErr w:type="gramEnd"/>
      <w:r>
        <w:t xml:space="preserve"> phenotypes in ERα positive breast cancers.</w:t>
      </w:r>
      <w:r>
        <w:t xml:space="preserve"> PMID: 23791814  </w:t>
      </w:r>
    </w:p>
    <w:p w:rsidR="00D23456" w:rsidRDefault="00D23456" w:rsidP="00D23456"/>
    <w:p w:rsidR="00D23456" w:rsidRDefault="00D23456" w:rsidP="00D23456"/>
    <w:p w:rsidR="00D23456" w:rsidRDefault="00D23456" w:rsidP="00D23456">
      <w:r>
        <w:t xml:space="preserve">18. </w:t>
      </w:r>
      <w:proofErr w:type="spellStart"/>
      <w:r>
        <w:t>Adv</w:t>
      </w:r>
      <w:proofErr w:type="spellEnd"/>
      <w:r>
        <w:t xml:space="preserve"> </w:t>
      </w:r>
      <w:proofErr w:type="spellStart"/>
      <w:r>
        <w:t>Exp</w:t>
      </w:r>
      <w:proofErr w:type="spellEnd"/>
      <w:r>
        <w:t xml:space="preserve"> Med Biol. 2014</w:t>
      </w:r>
      <w:proofErr w:type="gramStart"/>
      <w:r>
        <w:t>;816:53</w:t>
      </w:r>
      <w:proofErr w:type="gramEnd"/>
      <w:r>
        <w:t>-73.</w:t>
      </w:r>
    </w:p>
    <w:p w:rsidR="00D23456" w:rsidRDefault="00D23456" w:rsidP="00D23456">
      <w:proofErr w:type="gramStart"/>
      <w:r w:rsidRPr="00D23456">
        <w:rPr>
          <w:b/>
        </w:rPr>
        <w:t>The role of inflammation in inflammatory breast cancer.</w:t>
      </w:r>
      <w:proofErr w:type="gramEnd"/>
      <w:r>
        <w:rPr>
          <w:b/>
        </w:rPr>
        <w:t xml:space="preserve"> </w:t>
      </w:r>
      <w:r>
        <w:t>Fouad TM</w:t>
      </w:r>
      <w:r>
        <w:t xml:space="preserve">, </w:t>
      </w:r>
      <w:proofErr w:type="spellStart"/>
      <w:r>
        <w:t>Kogawa</w:t>
      </w:r>
      <w:proofErr w:type="spellEnd"/>
      <w:r>
        <w:t xml:space="preserve"> T, Reuben JM, Ueno NT.</w:t>
      </w:r>
    </w:p>
    <w:p w:rsidR="00D23456" w:rsidRDefault="00D23456" w:rsidP="00D23456">
      <w:r>
        <w:t>Author information: Department of Breast Medical Oncology, Morgan Welch Inflammatory Breast Cancer</w:t>
      </w:r>
    </w:p>
    <w:p w:rsidR="00D23456" w:rsidRDefault="00D23456" w:rsidP="00D23456">
      <w:r>
        <w:t xml:space="preserve">Research Program and Clinic, </w:t>
      </w:r>
      <w:proofErr w:type="gramStart"/>
      <w:r>
        <w:t>The</w:t>
      </w:r>
      <w:proofErr w:type="gramEnd"/>
      <w:r>
        <w:t xml:space="preserve"> University of Texas MD Anderson Cancer Center,</w:t>
      </w:r>
      <w:r>
        <w:t xml:space="preserve"> Houston, TX</w:t>
      </w:r>
    </w:p>
    <w:p w:rsidR="00D23456" w:rsidRDefault="00D23456" w:rsidP="00D23456"/>
    <w:p w:rsidR="00D23456" w:rsidRDefault="00D23456" w:rsidP="00D23456">
      <w:r>
        <w:t>Inflammatory breast cancer (IBC) is the most aggressive form of breast cancer.</w:t>
      </w:r>
    </w:p>
    <w:p w:rsidR="00D23456" w:rsidRDefault="00D23456" w:rsidP="00D23456">
      <w:r>
        <w:t xml:space="preserve">Despite extensive study, whether inflammation contributes to the </w:t>
      </w:r>
      <w:proofErr w:type="spellStart"/>
      <w:r>
        <w:t>tumorigenicity</w:t>
      </w:r>
      <w:proofErr w:type="spellEnd"/>
    </w:p>
    <w:p w:rsidR="00D23456" w:rsidRDefault="00D23456" w:rsidP="00D23456">
      <w:proofErr w:type="gramStart"/>
      <w:r>
        <w:t>or</w:t>
      </w:r>
      <w:proofErr w:type="gramEnd"/>
      <w:r>
        <w:t xml:space="preserve"> aggressiveness of IBC remains largely unknown. In this chapter, we will review</w:t>
      </w:r>
    </w:p>
    <w:p w:rsidR="00D23456" w:rsidRDefault="00D23456" w:rsidP="00D23456">
      <w:proofErr w:type="gramStart"/>
      <w:r>
        <w:t>the</w:t>
      </w:r>
      <w:proofErr w:type="gramEnd"/>
      <w:r>
        <w:t xml:space="preserve"> potential role played by inflammation in IBC based on the results of in</w:t>
      </w:r>
    </w:p>
    <w:p w:rsidR="00D23456" w:rsidRDefault="00D23456" w:rsidP="00D23456">
      <w:proofErr w:type="gramStart"/>
      <w:r>
        <w:t>vitro</w:t>
      </w:r>
      <w:proofErr w:type="gramEnd"/>
      <w:r>
        <w:t>, in vivo, and patient studies. Current evidence suggests that several major</w:t>
      </w:r>
    </w:p>
    <w:p w:rsidR="00D23456" w:rsidRDefault="00D23456" w:rsidP="00D23456">
      <w:proofErr w:type="gramStart"/>
      <w:r>
        <w:t>inflammatory</w:t>
      </w:r>
      <w:proofErr w:type="gramEnd"/>
      <w:r>
        <w:t xml:space="preserve"> signaling pathways are constitutively active in IBC and breast</w:t>
      </w:r>
    </w:p>
    <w:p w:rsidR="00D23456" w:rsidRDefault="00D23456" w:rsidP="00D23456">
      <w:proofErr w:type="gramStart"/>
      <w:r>
        <w:t>cancer</w:t>
      </w:r>
      <w:proofErr w:type="gramEnd"/>
      <w:r>
        <w:t>. Among them, the NF-</w:t>
      </w:r>
      <w:proofErr w:type="spellStart"/>
      <w:r>
        <w:t>κB</w:t>
      </w:r>
      <w:proofErr w:type="spellEnd"/>
      <w:r>
        <w:t>, COX-2, and JAK/STAT signaling systems seem to play</w:t>
      </w:r>
    </w:p>
    <w:p w:rsidR="00D23456" w:rsidRDefault="00D23456" w:rsidP="00D23456">
      <w:proofErr w:type="gramStart"/>
      <w:r>
        <w:t>a</w:t>
      </w:r>
      <w:proofErr w:type="gramEnd"/>
      <w:r>
        <w:t xml:space="preserve"> major role in the tumorigenesis of IBC. Inflammatory molecules such as</w:t>
      </w:r>
    </w:p>
    <w:p w:rsidR="00D23456" w:rsidRDefault="00D23456" w:rsidP="00D23456">
      <w:proofErr w:type="gramStart"/>
      <w:r>
        <w:lastRenderedPageBreak/>
        <w:t>interleukin-6</w:t>
      </w:r>
      <w:proofErr w:type="gramEnd"/>
      <w:r>
        <w:t>, tumor necrosis factor alpha (TNF-α), and gamma interferon have</w:t>
      </w:r>
    </w:p>
    <w:p w:rsidR="00D23456" w:rsidRDefault="00D23456" w:rsidP="00D23456">
      <w:proofErr w:type="gramStart"/>
      <w:r>
        <w:t>been</w:t>
      </w:r>
      <w:proofErr w:type="gramEnd"/>
      <w:r>
        <w:t xml:space="preserve"> shown to contribute to malignant transformation in preclinical studies of</w:t>
      </w:r>
    </w:p>
    <w:p w:rsidR="00D23456" w:rsidRDefault="00D23456" w:rsidP="00D23456">
      <w:r>
        <w:t xml:space="preserve">IBC, while transforming growth factor-β, interleukins 8 and 1β, as well as TNF-α </w:t>
      </w:r>
    </w:p>
    <w:p w:rsidR="00D23456" w:rsidRDefault="00D23456" w:rsidP="00D23456">
      <w:proofErr w:type="gramStart"/>
      <w:r>
        <w:t>appear</w:t>
      </w:r>
      <w:proofErr w:type="gramEnd"/>
      <w:r>
        <w:t xml:space="preserve"> to play a role in proliferation, survival, epithelial-mesenchymal</w:t>
      </w:r>
    </w:p>
    <w:p w:rsidR="00D23456" w:rsidRDefault="00D23456" w:rsidP="00D23456">
      <w:proofErr w:type="gramStart"/>
      <w:r>
        <w:t>transition</w:t>
      </w:r>
      <w:proofErr w:type="gramEnd"/>
      <w:r>
        <w:t>, invasion, and metastasis. In this chapter, we also describe work thus</w:t>
      </w:r>
    </w:p>
    <w:p w:rsidR="00D23456" w:rsidRDefault="00D23456" w:rsidP="00D23456">
      <w:proofErr w:type="gramStart"/>
      <w:r>
        <w:t>far</w:t>
      </w:r>
      <w:proofErr w:type="gramEnd"/>
      <w:r>
        <w:t xml:space="preserve"> involving inhibitors of inflammation in the development of prevention and</w:t>
      </w:r>
    </w:p>
    <w:p w:rsidR="00D23456" w:rsidRDefault="00D23456" w:rsidP="00D23456">
      <w:proofErr w:type="gramStart"/>
      <w:r>
        <w:t>treatment</w:t>
      </w:r>
      <w:proofErr w:type="gramEnd"/>
      <w:r>
        <w:t xml:space="preserve"> strategies for IBC.</w:t>
      </w:r>
      <w:r>
        <w:t xml:space="preserve"> PMID: 24818719  </w:t>
      </w:r>
    </w:p>
    <w:p w:rsidR="00D23456" w:rsidRDefault="00D23456" w:rsidP="00D23456">
      <w:bookmarkStart w:id="0" w:name="_GoBack"/>
      <w:bookmarkEnd w:id="0"/>
    </w:p>
    <w:p w:rsidR="00D23456" w:rsidRDefault="00D23456" w:rsidP="00D23456"/>
    <w:p w:rsidR="00D23456" w:rsidRDefault="00D23456" w:rsidP="00D23456">
      <w:r>
        <w:t xml:space="preserve">19. Cancer </w:t>
      </w:r>
      <w:proofErr w:type="spellStart"/>
      <w:r>
        <w:t>Epidemiol</w:t>
      </w:r>
      <w:proofErr w:type="spellEnd"/>
      <w:r>
        <w:t xml:space="preserve"> Biomarkers Prev. 2013 Jul</w:t>
      </w:r>
      <w:proofErr w:type="gramStart"/>
      <w:r>
        <w:t>;22</w:t>
      </w:r>
      <w:proofErr w:type="gramEnd"/>
      <w:r>
        <w:t xml:space="preserve">(7):1319-24. </w:t>
      </w:r>
    </w:p>
    <w:p w:rsidR="00D23456" w:rsidRPr="00D23456" w:rsidRDefault="00D23456" w:rsidP="00D23456">
      <w:pPr>
        <w:rPr>
          <w:b/>
        </w:rPr>
      </w:pPr>
      <w:proofErr w:type="spellStart"/>
      <w:r w:rsidRPr="00D23456">
        <w:rPr>
          <w:b/>
        </w:rPr>
        <w:t>Adipocytokines</w:t>
      </w:r>
      <w:proofErr w:type="spellEnd"/>
      <w:r w:rsidRPr="00D23456">
        <w:rPr>
          <w:b/>
        </w:rPr>
        <w:t>, inflammation, and breast cancer risk in postmenopausal women: a</w:t>
      </w:r>
      <w:r>
        <w:rPr>
          <w:b/>
        </w:rPr>
        <w:t xml:space="preserve"> </w:t>
      </w:r>
      <w:r w:rsidRPr="00D23456">
        <w:rPr>
          <w:b/>
        </w:rPr>
        <w:t>prospective study.</w:t>
      </w:r>
    </w:p>
    <w:p w:rsidR="00D23456" w:rsidRDefault="00D23456" w:rsidP="00D23456">
      <w:proofErr w:type="gramStart"/>
      <w:r>
        <w:t>Gross AL</w:t>
      </w:r>
      <w:r>
        <w:t xml:space="preserve">, </w:t>
      </w:r>
      <w:proofErr w:type="spellStart"/>
      <w:r>
        <w:t>Newschaffer</w:t>
      </w:r>
      <w:proofErr w:type="spellEnd"/>
      <w:r>
        <w:t xml:space="preserve"> CJ, Hoffman-Bolton J, </w:t>
      </w:r>
      <w:proofErr w:type="spellStart"/>
      <w:r>
        <w:t>Rifai</w:t>
      </w:r>
      <w:proofErr w:type="spellEnd"/>
      <w:r>
        <w:t xml:space="preserve"> N, Visvanathan K.</w:t>
      </w:r>
      <w:proofErr w:type="gramEnd"/>
    </w:p>
    <w:p w:rsidR="00D23456" w:rsidRDefault="00D23456" w:rsidP="00D23456">
      <w:r>
        <w:t>Author information: Department of Epidemiology, Johns Hopkins Bloomberg School of Public Health,</w:t>
      </w:r>
    </w:p>
    <w:p w:rsidR="00D23456" w:rsidRDefault="00D23456" w:rsidP="00D23456">
      <w:r>
        <w:t xml:space="preserve">Baltimore, MD </w:t>
      </w:r>
    </w:p>
    <w:p w:rsidR="00D23456" w:rsidRDefault="00D23456" w:rsidP="00D23456"/>
    <w:p w:rsidR="00D23456" w:rsidRDefault="00D23456" w:rsidP="00D23456">
      <w:r>
        <w:t>Obesity is a known risk factor for postmenopausal breast cancer; it has been</w:t>
      </w:r>
    </w:p>
    <w:p w:rsidR="00D23456" w:rsidRDefault="00D23456" w:rsidP="00D23456">
      <w:proofErr w:type="gramStart"/>
      <w:r>
        <w:t>postulated</w:t>
      </w:r>
      <w:proofErr w:type="gramEnd"/>
      <w:r>
        <w:t xml:space="preserve"> that </w:t>
      </w:r>
      <w:proofErr w:type="spellStart"/>
      <w:r>
        <w:t>adipocytokines</w:t>
      </w:r>
      <w:proofErr w:type="spellEnd"/>
      <w:r>
        <w:t xml:space="preserve"> may mediate this association. We explored the</w:t>
      </w:r>
    </w:p>
    <w:p w:rsidR="00D23456" w:rsidRDefault="00D23456" w:rsidP="00D23456">
      <w:proofErr w:type="gramStart"/>
      <w:r>
        <w:t>relationship</w:t>
      </w:r>
      <w:proofErr w:type="gramEnd"/>
      <w:r>
        <w:t xml:space="preserve"> between three markers altered by obesity: leptin, adiponectin, and</w:t>
      </w:r>
    </w:p>
    <w:p w:rsidR="00D23456" w:rsidRDefault="00D23456" w:rsidP="00D23456">
      <w:proofErr w:type="gramStart"/>
      <w:r>
        <w:t>soluble</w:t>
      </w:r>
      <w:proofErr w:type="gramEnd"/>
      <w:r>
        <w:t xml:space="preserve"> tumor necrosis factor receptor 2 (sTNF-R2), an inflammatory marker, with </w:t>
      </w:r>
    </w:p>
    <w:p w:rsidR="00D23456" w:rsidRDefault="00D23456" w:rsidP="00D23456">
      <w:proofErr w:type="gramStart"/>
      <w:r>
        <w:t>breast</w:t>
      </w:r>
      <w:proofErr w:type="gramEnd"/>
      <w:r>
        <w:t xml:space="preserve"> cancer risk in postmenopausal women. A nested case-control study of</w:t>
      </w:r>
    </w:p>
    <w:p w:rsidR="00D23456" w:rsidRDefault="00D23456" w:rsidP="00D23456">
      <w:proofErr w:type="gramStart"/>
      <w:r>
        <w:t>postmenopausal</w:t>
      </w:r>
      <w:proofErr w:type="gramEnd"/>
      <w:r>
        <w:t xml:space="preserve"> women was conducted within CLUE II, a prospective population-based</w:t>
      </w:r>
    </w:p>
    <w:p w:rsidR="00D23456" w:rsidRDefault="00D23456" w:rsidP="00D23456">
      <w:proofErr w:type="gramStart"/>
      <w:r>
        <w:t>cohort</w:t>
      </w:r>
      <w:proofErr w:type="gramEnd"/>
      <w:r>
        <w:t>. Baseline plasma levels of leptin, adiponectin, and sTNF-R2 were assayed</w:t>
      </w:r>
    </w:p>
    <w:p w:rsidR="00D23456" w:rsidRDefault="00D23456" w:rsidP="00D23456">
      <w:proofErr w:type="gramStart"/>
      <w:r>
        <w:t>in</w:t>
      </w:r>
      <w:proofErr w:type="gramEnd"/>
      <w:r>
        <w:t xml:space="preserve"> 272 female breast cancer cases and 272 controls matched on age, date, and hour</w:t>
      </w:r>
    </w:p>
    <w:p w:rsidR="00D23456" w:rsidRDefault="00D23456" w:rsidP="00D23456">
      <w:proofErr w:type="gramStart"/>
      <w:r>
        <w:t>of</w:t>
      </w:r>
      <w:proofErr w:type="gramEnd"/>
      <w:r>
        <w:t xml:space="preserve"> blood draw. Conditional logistic regression was used to estimate matched odds </w:t>
      </w:r>
    </w:p>
    <w:p w:rsidR="00D23456" w:rsidRDefault="00D23456" w:rsidP="00D23456">
      <w:proofErr w:type="gramStart"/>
      <w:r>
        <w:t>ratios</w:t>
      </w:r>
      <w:proofErr w:type="gramEnd"/>
      <w:r>
        <w:t xml:space="preserve"> (OR) and 95% confidence intervals (CI). </w:t>
      </w:r>
      <w:proofErr w:type="gramStart"/>
      <w:r>
        <w:t>sTNF-R2</w:t>
      </w:r>
      <w:proofErr w:type="gramEnd"/>
      <w:r>
        <w:t xml:space="preserve"> and leptin were</w:t>
      </w:r>
    </w:p>
    <w:p w:rsidR="00D23456" w:rsidRDefault="00D23456" w:rsidP="00D23456">
      <w:proofErr w:type="gramStart"/>
      <w:r>
        <w:t>independently</w:t>
      </w:r>
      <w:proofErr w:type="gramEnd"/>
      <w:r>
        <w:t xml:space="preserve"> positively associated with breast cancer risk in adjusted models.</w:t>
      </w:r>
    </w:p>
    <w:p w:rsidR="00D23456" w:rsidRDefault="00D23456" w:rsidP="00D23456">
      <w:r>
        <w:t xml:space="preserve">The OR for breast cancer comparing the highest to lowest </w:t>
      </w:r>
      <w:proofErr w:type="spellStart"/>
      <w:r>
        <w:t>tertile</w:t>
      </w:r>
      <w:proofErr w:type="spellEnd"/>
      <w:r>
        <w:t xml:space="preserve"> was 2.44 (95%</w:t>
      </w:r>
    </w:p>
    <w:p w:rsidR="00D23456" w:rsidRDefault="00D23456" w:rsidP="00D23456">
      <w:r>
        <w:t xml:space="preserve">CI: 1.30-4.58) for sTNF-R2 and 1.98 (95% CI: 1.20-3.29) for leptin. While higher </w:t>
      </w:r>
    </w:p>
    <w:p w:rsidR="00D23456" w:rsidRDefault="00D23456" w:rsidP="00D23456">
      <w:proofErr w:type="gramStart"/>
      <w:r>
        <w:t>levels</w:t>
      </w:r>
      <w:proofErr w:type="gramEnd"/>
      <w:r>
        <w:t xml:space="preserve"> of adiponectin were protective (OR for the lowest </w:t>
      </w:r>
      <w:proofErr w:type="spellStart"/>
      <w:r>
        <w:t>tertile</w:t>
      </w:r>
      <w:proofErr w:type="spellEnd"/>
      <w:r>
        <w:t xml:space="preserve"> = 1.63; 95% CI: </w:t>
      </w:r>
    </w:p>
    <w:p w:rsidR="00D23456" w:rsidRDefault="00D23456" w:rsidP="00D23456">
      <w:proofErr w:type="gramStart"/>
      <w:r>
        <w:t>1.02-2.60), there was no dose response.</w:t>
      </w:r>
      <w:proofErr w:type="gramEnd"/>
      <w:r>
        <w:t xml:space="preserve"> A 20% reduction in the breast cancer risk</w:t>
      </w:r>
    </w:p>
    <w:p w:rsidR="00D23456" w:rsidRDefault="00D23456" w:rsidP="00D23456">
      <w:proofErr w:type="gramStart"/>
      <w:r>
        <w:t>associated</w:t>
      </w:r>
      <w:proofErr w:type="gramEnd"/>
      <w:r>
        <w:t xml:space="preserve"> with overweight/obesity was observed when sTNF-R2 alone was included</w:t>
      </w:r>
    </w:p>
    <w:p w:rsidR="00D23456" w:rsidRDefault="00D23456" w:rsidP="00D23456">
      <w:proofErr w:type="gramStart"/>
      <w:r>
        <w:t>in</w:t>
      </w:r>
      <w:proofErr w:type="gramEnd"/>
      <w:r>
        <w:t xml:space="preserve"> multivariable models. Including both sTNF-R2 and adiponectin in the models</w:t>
      </w:r>
    </w:p>
    <w:p w:rsidR="00D23456" w:rsidRDefault="00D23456" w:rsidP="00D23456">
      <w:proofErr w:type="gramStart"/>
      <w:r>
        <w:t>resulted</w:t>
      </w:r>
      <w:proofErr w:type="gramEnd"/>
      <w:r>
        <w:t xml:space="preserve"> in a 29% reduction in the OR. </w:t>
      </w:r>
      <w:proofErr w:type="spellStart"/>
      <w:r>
        <w:t>Adipocytokines</w:t>
      </w:r>
      <w:proofErr w:type="spellEnd"/>
      <w:r>
        <w:t xml:space="preserve"> and sTNF-R2 are important</w:t>
      </w:r>
    </w:p>
    <w:p w:rsidR="00D23456" w:rsidRDefault="00D23456" w:rsidP="00D23456">
      <w:proofErr w:type="gramStart"/>
      <w:r>
        <w:t>factors</w:t>
      </w:r>
      <w:proofErr w:type="gramEnd"/>
      <w:r>
        <w:t xml:space="preserve"> in the etiology of postmenopausal breast cancer due to adiposity. This</w:t>
      </w:r>
    </w:p>
    <w:p w:rsidR="00D23456" w:rsidRDefault="00D23456" w:rsidP="00D23456">
      <w:proofErr w:type="gramStart"/>
      <w:r>
        <w:t>study</w:t>
      </w:r>
      <w:proofErr w:type="gramEnd"/>
      <w:r>
        <w:t xml:space="preserve"> informs our understanding of the relationship between obesity,</w:t>
      </w:r>
    </w:p>
    <w:p w:rsidR="00D23456" w:rsidRDefault="00D23456" w:rsidP="00D23456">
      <w:proofErr w:type="gramStart"/>
      <w:r>
        <w:t>inflammation</w:t>
      </w:r>
      <w:proofErr w:type="gramEnd"/>
      <w:r>
        <w:t>, and postmenopausal breast cancer and identifies potential</w:t>
      </w:r>
    </w:p>
    <w:p w:rsidR="00D23456" w:rsidRDefault="00D23456" w:rsidP="00D23456">
      <w:proofErr w:type="gramStart"/>
      <w:r>
        <w:t>biomarkers</w:t>
      </w:r>
      <w:proofErr w:type="gramEnd"/>
      <w:r>
        <w:t>.</w:t>
      </w:r>
      <w:r>
        <w:t xml:space="preserve"> PMID: 23651666  </w:t>
      </w:r>
    </w:p>
    <w:p w:rsidR="00D23456" w:rsidRDefault="00D23456" w:rsidP="00D23456"/>
    <w:p w:rsidR="00D23456" w:rsidRDefault="00D23456" w:rsidP="00D23456"/>
    <w:p w:rsidR="00D23456" w:rsidRDefault="00D23456" w:rsidP="00D23456">
      <w:r>
        <w:t>20. Asian Pac J Cancer Prev. 2013</w:t>
      </w:r>
      <w:proofErr w:type="gramStart"/>
      <w:r>
        <w:t>;14</w:t>
      </w:r>
      <w:proofErr w:type="gramEnd"/>
      <w:r>
        <w:t>(1):243-8.</w:t>
      </w:r>
    </w:p>
    <w:p w:rsidR="00D23456" w:rsidRPr="00D23456" w:rsidRDefault="00D23456" w:rsidP="00D23456">
      <w:pPr>
        <w:rPr>
          <w:b/>
        </w:rPr>
      </w:pPr>
      <w:r w:rsidRPr="00D23456">
        <w:rPr>
          <w:b/>
        </w:rPr>
        <w:t>Association between C-reactive protein and risk of cancer: a meta-analysis of</w:t>
      </w:r>
      <w:r>
        <w:rPr>
          <w:b/>
        </w:rPr>
        <w:t xml:space="preserve"> </w:t>
      </w:r>
      <w:r w:rsidRPr="00D23456">
        <w:rPr>
          <w:b/>
        </w:rPr>
        <w:t>prospective cohort studies.</w:t>
      </w:r>
    </w:p>
    <w:p w:rsidR="00D23456" w:rsidRDefault="00D23456" w:rsidP="00D23456">
      <w:proofErr w:type="spellStart"/>
      <w:r>
        <w:t>Guo</w:t>
      </w:r>
      <w:proofErr w:type="spellEnd"/>
      <w:r>
        <w:t xml:space="preserve"> YZ</w:t>
      </w:r>
      <w:r>
        <w:t xml:space="preserve">, Pan L, Du CJ, Ren DQ, </w:t>
      </w:r>
      <w:proofErr w:type="spellStart"/>
      <w:r>
        <w:t>Xie</w:t>
      </w:r>
      <w:proofErr w:type="spellEnd"/>
      <w:r>
        <w:t xml:space="preserve"> XM.</w:t>
      </w:r>
    </w:p>
    <w:p w:rsidR="00D23456" w:rsidRDefault="00D23456" w:rsidP="00D23456">
      <w:r>
        <w:t>Author information: Department of Respiratory Medicine, Xuzhou Central Hospital, Affiliated Xuzhou</w:t>
      </w:r>
    </w:p>
    <w:p w:rsidR="00D23456" w:rsidRDefault="00D23456" w:rsidP="00D23456">
      <w:proofErr w:type="gramStart"/>
      <w:r>
        <w:t>Hospital of Medical College of Southeast University, China.</w:t>
      </w:r>
      <w:proofErr w:type="gramEnd"/>
    </w:p>
    <w:p w:rsidR="00D23456" w:rsidRDefault="00D23456" w:rsidP="00D23456"/>
    <w:p w:rsidR="00D23456" w:rsidRDefault="00D23456" w:rsidP="00D23456">
      <w:r>
        <w:t>BACKGROUND: Associations between elevated C-reactive protein (CRP) and cancer</w:t>
      </w:r>
    </w:p>
    <w:p w:rsidR="00D23456" w:rsidRDefault="00D23456" w:rsidP="00D23456">
      <w:proofErr w:type="gramStart"/>
      <w:r>
        <w:t>risk</w:t>
      </w:r>
      <w:proofErr w:type="gramEnd"/>
      <w:r>
        <w:t xml:space="preserve"> have been reported for many years, but the results from prospective cohort</w:t>
      </w:r>
    </w:p>
    <w:p w:rsidR="00D23456" w:rsidRDefault="00D23456" w:rsidP="00D23456">
      <w:proofErr w:type="gramStart"/>
      <w:r>
        <w:t>studies</w:t>
      </w:r>
      <w:proofErr w:type="gramEnd"/>
      <w:r>
        <w:t xml:space="preserve"> remains controversial. A meta-analysis of prospective cohort studies was </w:t>
      </w:r>
    </w:p>
    <w:p w:rsidR="00D23456" w:rsidRDefault="00D23456" w:rsidP="00D23456">
      <w:proofErr w:type="gramStart"/>
      <w:r>
        <w:t>therefore</w:t>
      </w:r>
      <w:proofErr w:type="gramEnd"/>
      <w:r>
        <w:t xml:space="preserve"> conducted to address this issue.</w:t>
      </w:r>
    </w:p>
    <w:p w:rsidR="00D23456" w:rsidRDefault="00D23456" w:rsidP="00D23456">
      <w:r>
        <w:t>METHODS: Eligible studies were identified by searching the PubMed and EMBASE up</w:t>
      </w:r>
    </w:p>
    <w:p w:rsidR="00D23456" w:rsidRDefault="00D23456" w:rsidP="00D23456">
      <w:proofErr w:type="gramStart"/>
      <w:r>
        <w:t>to</w:t>
      </w:r>
      <w:proofErr w:type="gramEnd"/>
      <w:r>
        <w:t xml:space="preserve"> October 2012. Pooled hazard ratios (HR) was calculated by using random effects</w:t>
      </w:r>
      <w:r>
        <w:t xml:space="preserve"> </w:t>
      </w:r>
      <w:r>
        <w:t>model.</w:t>
      </w:r>
    </w:p>
    <w:p w:rsidR="00D23456" w:rsidRDefault="00D23456" w:rsidP="00D23456">
      <w:r>
        <w:t>RESULTS: Eleven prospective cohort studies involving a total of 194,796</w:t>
      </w:r>
    </w:p>
    <w:p w:rsidR="00D23456" w:rsidRDefault="00D23456" w:rsidP="00D23456">
      <w:proofErr w:type="gramStart"/>
      <w:r>
        <w:lastRenderedPageBreak/>
        <w:t>participants</w:t>
      </w:r>
      <w:proofErr w:type="gramEnd"/>
      <w:r>
        <w:t xml:space="preserve"> and 11,459 cancer cases were included in this meta-analysis. The</w:t>
      </w:r>
    </w:p>
    <w:p w:rsidR="00D23456" w:rsidRDefault="00D23456" w:rsidP="00D23456">
      <w:proofErr w:type="gramStart"/>
      <w:r>
        <w:t>pooled</w:t>
      </w:r>
      <w:proofErr w:type="gramEnd"/>
      <w:r>
        <w:t xml:space="preserve"> HR per natural log unit change in CRP was 1.105 (95% confidence interval</w:t>
      </w:r>
    </w:p>
    <w:p w:rsidR="00D23456" w:rsidRDefault="00D23456" w:rsidP="00D23456">
      <w:r>
        <w:t>(CI): 1.033-1.178) for all-cancer, 1.308 (95% CI: 1.097-1.519) for lung cancer,</w:t>
      </w:r>
    </w:p>
    <w:p w:rsidR="00D23456" w:rsidRDefault="00D23456" w:rsidP="00D23456">
      <w:r>
        <w:t>1.040 (95% CI: 0.910-1.170) for breast cancer, 1.063 (95% CI: 0.965-1.161) for</w:t>
      </w:r>
    </w:p>
    <w:p w:rsidR="00D23456" w:rsidRDefault="00D23456" w:rsidP="00D23456">
      <w:proofErr w:type="gramStart"/>
      <w:r>
        <w:t>prostate</w:t>
      </w:r>
      <w:proofErr w:type="gramEnd"/>
      <w:r>
        <w:t xml:space="preserve"> cancer, and 1.055 (95% CI: 0.925-1.184) for colorectal cancer.</w:t>
      </w:r>
    </w:p>
    <w:p w:rsidR="00D23456" w:rsidRDefault="00D23456" w:rsidP="00D23456">
      <w:r>
        <w:t xml:space="preserve">Dose-response analysis showed that the </w:t>
      </w:r>
      <w:proofErr w:type="spellStart"/>
      <w:r>
        <w:t>exponentiated</w:t>
      </w:r>
      <w:proofErr w:type="spellEnd"/>
      <w:r>
        <w:t xml:space="preserve"> linear trend for a change of</w:t>
      </w:r>
    </w:p>
    <w:p w:rsidR="00D23456" w:rsidRDefault="00D23456" w:rsidP="00D23456">
      <w:proofErr w:type="gramStart"/>
      <w:r>
        <w:t>one</w:t>
      </w:r>
      <w:proofErr w:type="gramEnd"/>
      <w:r>
        <w:t xml:space="preserve"> natural log unit in CRP was 1.012 (95% CI: 1.006-1.018) for all-cancer. No</w:t>
      </w:r>
    </w:p>
    <w:p w:rsidR="00D23456" w:rsidRDefault="00D23456" w:rsidP="00D23456">
      <w:proofErr w:type="gramStart"/>
      <w:r>
        <w:t>evidence</w:t>
      </w:r>
      <w:proofErr w:type="gramEnd"/>
      <w:r>
        <w:t xml:space="preserve"> of publication bias was observed.</w:t>
      </w:r>
    </w:p>
    <w:p w:rsidR="00D23456" w:rsidRDefault="00D23456" w:rsidP="00D23456">
      <w:r>
        <w:t>CONCLUSIONS: The results of this meta-analysis showed that the elevated levels of</w:t>
      </w:r>
    </w:p>
    <w:p w:rsidR="00D23456" w:rsidRDefault="00D23456" w:rsidP="00D23456">
      <w:r>
        <w:t>CRP are associated with an increased risk of all-cancer, lung cancer, and</w:t>
      </w:r>
    </w:p>
    <w:p w:rsidR="00D23456" w:rsidRDefault="00D23456" w:rsidP="00D23456">
      <w:proofErr w:type="gramStart"/>
      <w:r>
        <w:t>possibly</w:t>
      </w:r>
      <w:proofErr w:type="gramEnd"/>
      <w:r>
        <w:t xml:space="preserve"> breast, prostate and colorectal cancer. The result supports a role of</w:t>
      </w:r>
    </w:p>
    <w:p w:rsidR="00D23456" w:rsidRDefault="00D23456" w:rsidP="00D23456">
      <w:proofErr w:type="gramStart"/>
      <w:r>
        <w:t>chronic</w:t>
      </w:r>
      <w:proofErr w:type="gramEnd"/>
      <w:r>
        <w:t xml:space="preserve"> inflammation in carcinogenesis. Further research effort should be</w:t>
      </w:r>
    </w:p>
    <w:p w:rsidR="00D23456" w:rsidRDefault="00D23456" w:rsidP="00D23456">
      <w:proofErr w:type="gramStart"/>
      <w:r>
        <w:t>performed</w:t>
      </w:r>
      <w:proofErr w:type="gramEnd"/>
      <w:r>
        <w:t xml:space="preserve"> to identify whether CRP, as a marker of inflammation, has a direct role</w:t>
      </w:r>
    </w:p>
    <w:p w:rsidR="00D23456" w:rsidRDefault="00D23456" w:rsidP="00D23456">
      <w:proofErr w:type="gramStart"/>
      <w:r>
        <w:t>in</w:t>
      </w:r>
      <w:proofErr w:type="gramEnd"/>
      <w:r>
        <w:t xml:space="preserve"> carcinogenesis.</w:t>
      </w:r>
      <w:r>
        <w:t xml:space="preserve"> PMID: 23534731  </w:t>
      </w:r>
    </w:p>
    <w:p w:rsidR="003D0720" w:rsidRDefault="003D0720"/>
    <w:sectPr w:rsidR="003D0720" w:rsidSect="00D2345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3456"/>
    <w:rsid w:val="00000C9F"/>
    <w:rsid w:val="0000148F"/>
    <w:rsid w:val="0000165A"/>
    <w:rsid w:val="000024E0"/>
    <w:rsid w:val="00002FB4"/>
    <w:rsid w:val="00003B2C"/>
    <w:rsid w:val="000044DA"/>
    <w:rsid w:val="00004532"/>
    <w:rsid w:val="0000537A"/>
    <w:rsid w:val="000054AC"/>
    <w:rsid w:val="000054C9"/>
    <w:rsid w:val="00006442"/>
    <w:rsid w:val="00006FF1"/>
    <w:rsid w:val="00007034"/>
    <w:rsid w:val="00007CC4"/>
    <w:rsid w:val="00010793"/>
    <w:rsid w:val="00011166"/>
    <w:rsid w:val="000118D5"/>
    <w:rsid w:val="00011AE1"/>
    <w:rsid w:val="0001216C"/>
    <w:rsid w:val="000127A9"/>
    <w:rsid w:val="00013758"/>
    <w:rsid w:val="000163F4"/>
    <w:rsid w:val="00016F69"/>
    <w:rsid w:val="00017602"/>
    <w:rsid w:val="000201DF"/>
    <w:rsid w:val="000202A4"/>
    <w:rsid w:val="00021929"/>
    <w:rsid w:val="000219EC"/>
    <w:rsid w:val="00022127"/>
    <w:rsid w:val="00022333"/>
    <w:rsid w:val="00022EC2"/>
    <w:rsid w:val="00023777"/>
    <w:rsid w:val="000240CF"/>
    <w:rsid w:val="00026935"/>
    <w:rsid w:val="000306BF"/>
    <w:rsid w:val="00030EDC"/>
    <w:rsid w:val="00030F46"/>
    <w:rsid w:val="00031E4C"/>
    <w:rsid w:val="00032127"/>
    <w:rsid w:val="00035018"/>
    <w:rsid w:val="000357A1"/>
    <w:rsid w:val="000364F9"/>
    <w:rsid w:val="00040069"/>
    <w:rsid w:val="00040120"/>
    <w:rsid w:val="00040A57"/>
    <w:rsid w:val="0004242C"/>
    <w:rsid w:val="0004584B"/>
    <w:rsid w:val="00045A06"/>
    <w:rsid w:val="00045E84"/>
    <w:rsid w:val="00045F92"/>
    <w:rsid w:val="000463F0"/>
    <w:rsid w:val="000473F7"/>
    <w:rsid w:val="00050C90"/>
    <w:rsid w:val="00050FE2"/>
    <w:rsid w:val="0005198A"/>
    <w:rsid w:val="00051DAD"/>
    <w:rsid w:val="00053AC6"/>
    <w:rsid w:val="00053D3C"/>
    <w:rsid w:val="00053DBE"/>
    <w:rsid w:val="000546A5"/>
    <w:rsid w:val="00055917"/>
    <w:rsid w:val="000572D4"/>
    <w:rsid w:val="00057BF4"/>
    <w:rsid w:val="00057C5E"/>
    <w:rsid w:val="00057DB5"/>
    <w:rsid w:val="00057F99"/>
    <w:rsid w:val="00060536"/>
    <w:rsid w:val="00060CAF"/>
    <w:rsid w:val="000618E5"/>
    <w:rsid w:val="00061928"/>
    <w:rsid w:val="00062816"/>
    <w:rsid w:val="0006352D"/>
    <w:rsid w:val="00065279"/>
    <w:rsid w:val="0006532B"/>
    <w:rsid w:val="00065691"/>
    <w:rsid w:val="00065DDC"/>
    <w:rsid w:val="00066639"/>
    <w:rsid w:val="0006680E"/>
    <w:rsid w:val="00066C30"/>
    <w:rsid w:val="00066D30"/>
    <w:rsid w:val="000674CC"/>
    <w:rsid w:val="000709B3"/>
    <w:rsid w:val="0007149A"/>
    <w:rsid w:val="000718C9"/>
    <w:rsid w:val="00071F03"/>
    <w:rsid w:val="000721C2"/>
    <w:rsid w:val="00074224"/>
    <w:rsid w:val="000742D8"/>
    <w:rsid w:val="00074BFE"/>
    <w:rsid w:val="00074E5C"/>
    <w:rsid w:val="00074F54"/>
    <w:rsid w:val="0007521F"/>
    <w:rsid w:val="00075669"/>
    <w:rsid w:val="00075AF1"/>
    <w:rsid w:val="000763DE"/>
    <w:rsid w:val="000763FC"/>
    <w:rsid w:val="00076B50"/>
    <w:rsid w:val="00077C80"/>
    <w:rsid w:val="00077D2C"/>
    <w:rsid w:val="00077E26"/>
    <w:rsid w:val="000805AC"/>
    <w:rsid w:val="0008165D"/>
    <w:rsid w:val="0008183C"/>
    <w:rsid w:val="00081AE3"/>
    <w:rsid w:val="00082182"/>
    <w:rsid w:val="0008396C"/>
    <w:rsid w:val="00083EDA"/>
    <w:rsid w:val="00084A8E"/>
    <w:rsid w:val="000857D1"/>
    <w:rsid w:val="00085927"/>
    <w:rsid w:val="00085C2F"/>
    <w:rsid w:val="000904AB"/>
    <w:rsid w:val="0009151D"/>
    <w:rsid w:val="00091892"/>
    <w:rsid w:val="000922D1"/>
    <w:rsid w:val="0009241D"/>
    <w:rsid w:val="00093012"/>
    <w:rsid w:val="000938EC"/>
    <w:rsid w:val="000948D7"/>
    <w:rsid w:val="00095AEF"/>
    <w:rsid w:val="00095D1C"/>
    <w:rsid w:val="00097546"/>
    <w:rsid w:val="000977D2"/>
    <w:rsid w:val="00097EB5"/>
    <w:rsid w:val="000A0AB0"/>
    <w:rsid w:val="000A0DC9"/>
    <w:rsid w:val="000A42AC"/>
    <w:rsid w:val="000A4FEF"/>
    <w:rsid w:val="000A55AB"/>
    <w:rsid w:val="000A5DC0"/>
    <w:rsid w:val="000A6410"/>
    <w:rsid w:val="000A7088"/>
    <w:rsid w:val="000B09B5"/>
    <w:rsid w:val="000B1F9B"/>
    <w:rsid w:val="000B28D9"/>
    <w:rsid w:val="000B3FD6"/>
    <w:rsid w:val="000B59AE"/>
    <w:rsid w:val="000B62C1"/>
    <w:rsid w:val="000B65A5"/>
    <w:rsid w:val="000B672B"/>
    <w:rsid w:val="000B69CD"/>
    <w:rsid w:val="000B7715"/>
    <w:rsid w:val="000B79C9"/>
    <w:rsid w:val="000C0837"/>
    <w:rsid w:val="000C0963"/>
    <w:rsid w:val="000C1610"/>
    <w:rsid w:val="000C16CC"/>
    <w:rsid w:val="000C1795"/>
    <w:rsid w:val="000C224C"/>
    <w:rsid w:val="000C2516"/>
    <w:rsid w:val="000C2EA5"/>
    <w:rsid w:val="000C3699"/>
    <w:rsid w:val="000C3CC5"/>
    <w:rsid w:val="000C4076"/>
    <w:rsid w:val="000C49A1"/>
    <w:rsid w:val="000C633D"/>
    <w:rsid w:val="000C6470"/>
    <w:rsid w:val="000C68BB"/>
    <w:rsid w:val="000C6D72"/>
    <w:rsid w:val="000C6F56"/>
    <w:rsid w:val="000C7CE1"/>
    <w:rsid w:val="000D0408"/>
    <w:rsid w:val="000D081B"/>
    <w:rsid w:val="000D12E0"/>
    <w:rsid w:val="000D1718"/>
    <w:rsid w:val="000D2C12"/>
    <w:rsid w:val="000D331F"/>
    <w:rsid w:val="000D3349"/>
    <w:rsid w:val="000D4A18"/>
    <w:rsid w:val="000D4A83"/>
    <w:rsid w:val="000D51EA"/>
    <w:rsid w:val="000D5252"/>
    <w:rsid w:val="000D5658"/>
    <w:rsid w:val="000D6602"/>
    <w:rsid w:val="000D7EE4"/>
    <w:rsid w:val="000E04C7"/>
    <w:rsid w:val="000E1958"/>
    <w:rsid w:val="000E26DA"/>
    <w:rsid w:val="000E3272"/>
    <w:rsid w:val="000E3C50"/>
    <w:rsid w:val="000E4842"/>
    <w:rsid w:val="000E4E03"/>
    <w:rsid w:val="000E588C"/>
    <w:rsid w:val="000E5D1E"/>
    <w:rsid w:val="000E6A24"/>
    <w:rsid w:val="000E6ABE"/>
    <w:rsid w:val="000E6FB3"/>
    <w:rsid w:val="000E76D0"/>
    <w:rsid w:val="000E7F3C"/>
    <w:rsid w:val="000F0A8D"/>
    <w:rsid w:val="000F0AB7"/>
    <w:rsid w:val="000F1027"/>
    <w:rsid w:val="000F269D"/>
    <w:rsid w:val="000F2718"/>
    <w:rsid w:val="000F2CB5"/>
    <w:rsid w:val="000F32B9"/>
    <w:rsid w:val="000F524F"/>
    <w:rsid w:val="000F539F"/>
    <w:rsid w:val="000F5847"/>
    <w:rsid w:val="000F6884"/>
    <w:rsid w:val="000F6922"/>
    <w:rsid w:val="000F6ADB"/>
    <w:rsid w:val="000F72C1"/>
    <w:rsid w:val="0010041C"/>
    <w:rsid w:val="0010214B"/>
    <w:rsid w:val="001022CD"/>
    <w:rsid w:val="0010294D"/>
    <w:rsid w:val="00103A41"/>
    <w:rsid w:val="00103C7E"/>
    <w:rsid w:val="0010478D"/>
    <w:rsid w:val="00105A6B"/>
    <w:rsid w:val="00105CCB"/>
    <w:rsid w:val="0010741D"/>
    <w:rsid w:val="0011098B"/>
    <w:rsid w:val="00111A25"/>
    <w:rsid w:val="00112899"/>
    <w:rsid w:val="00112A31"/>
    <w:rsid w:val="0011394B"/>
    <w:rsid w:val="00114000"/>
    <w:rsid w:val="00114F84"/>
    <w:rsid w:val="00115211"/>
    <w:rsid w:val="0011528D"/>
    <w:rsid w:val="00115E02"/>
    <w:rsid w:val="00116559"/>
    <w:rsid w:val="0011692A"/>
    <w:rsid w:val="00116C06"/>
    <w:rsid w:val="00117B89"/>
    <w:rsid w:val="00120A43"/>
    <w:rsid w:val="00121672"/>
    <w:rsid w:val="00121A0E"/>
    <w:rsid w:val="00121DE3"/>
    <w:rsid w:val="00122C5E"/>
    <w:rsid w:val="0012302F"/>
    <w:rsid w:val="00123238"/>
    <w:rsid w:val="0012399C"/>
    <w:rsid w:val="00123C95"/>
    <w:rsid w:val="00124622"/>
    <w:rsid w:val="00124CE9"/>
    <w:rsid w:val="00127040"/>
    <w:rsid w:val="00127310"/>
    <w:rsid w:val="00127DB9"/>
    <w:rsid w:val="00130603"/>
    <w:rsid w:val="00131068"/>
    <w:rsid w:val="001313CE"/>
    <w:rsid w:val="00131E04"/>
    <w:rsid w:val="00132204"/>
    <w:rsid w:val="00133079"/>
    <w:rsid w:val="00133E1A"/>
    <w:rsid w:val="00134515"/>
    <w:rsid w:val="00135405"/>
    <w:rsid w:val="001370D1"/>
    <w:rsid w:val="00137CCD"/>
    <w:rsid w:val="00140162"/>
    <w:rsid w:val="00141599"/>
    <w:rsid w:val="00141F2F"/>
    <w:rsid w:val="00142D2A"/>
    <w:rsid w:val="001432B0"/>
    <w:rsid w:val="00143BE2"/>
    <w:rsid w:val="001462C3"/>
    <w:rsid w:val="00147433"/>
    <w:rsid w:val="00147A79"/>
    <w:rsid w:val="00147B92"/>
    <w:rsid w:val="001500D8"/>
    <w:rsid w:val="00150B40"/>
    <w:rsid w:val="00150D28"/>
    <w:rsid w:val="0015108D"/>
    <w:rsid w:val="0015158C"/>
    <w:rsid w:val="00151FD8"/>
    <w:rsid w:val="00153C93"/>
    <w:rsid w:val="00154606"/>
    <w:rsid w:val="00154626"/>
    <w:rsid w:val="001547EC"/>
    <w:rsid w:val="00156BB0"/>
    <w:rsid w:val="00160056"/>
    <w:rsid w:val="001608DD"/>
    <w:rsid w:val="00160D47"/>
    <w:rsid w:val="0016299A"/>
    <w:rsid w:val="00162B7A"/>
    <w:rsid w:val="00163521"/>
    <w:rsid w:val="00164B75"/>
    <w:rsid w:val="00166229"/>
    <w:rsid w:val="00166312"/>
    <w:rsid w:val="00166E5B"/>
    <w:rsid w:val="00166E86"/>
    <w:rsid w:val="00166F07"/>
    <w:rsid w:val="0016717F"/>
    <w:rsid w:val="00167331"/>
    <w:rsid w:val="00167759"/>
    <w:rsid w:val="00170D30"/>
    <w:rsid w:val="00171083"/>
    <w:rsid w:val="00172B8E"/>
    <w:rsid w:val="00172D03"/>
    <w:rsid w:val="0017322D"/>
    <w:rsid w:val="00173243"/>
    <w:rsid w:val="0017403E"/>
    <w:rsid w:val="0017412C"/>
    <w:rsid w:val="001741CD"/>
    <w:rsid w:val="00175BAB"/>
    <w:rsid w:val="0017605E"/>
    <w:rsid w:val="00176B4A"/>
    <w:rsid w:val="00176EA9"/>
    <w:rsid w:val="0017753C"/>
    <w:rsid w:val="00177CE2"/>
    <w:rsid w:val="001800A4"/>
    <w:rsid w:val="00180740"/>
    <w:rsid w:val="0018080D"/>
    <w:rsid w:val="00182A00"/>
    <w:rsid w:val="00183321"/>
    <w:rsid w:val="001845C8"/>
    <w:rsid w:val="00184850"/>
    <w:rsid w:val="00185013"/>
    <w:rsid w:val="00186071"/>
    <w:rsid w:val="00186289"/>
    <w:rsid w:val="00187588"/>
    <w:rsid w:val="001876F5"/>
    <w:rsid w:val="00187BE8"/>
    <w:rsid w:val="00191A36"/>
    <w:rsid w:val="0019254D"/>
    <w:rsid w:val="00192C8E"/>
    <w:rsid w:val="001938FE"/>
    <w:rsid w:val="0019409F"/>
    <w:rsid w:val="0019517C"/>
    <w:rsid w:val="001955B1"/>
    <w:rsid w:val="00195B13"/>
    <w:rsid w:val="001965FC"/>
    <w:rsid w:val="001966FE"/>
    <w:rsid w:val="001A12D1"/>
    <w:rsid w:val="001A332E"/>
    <w:rsid w:val="001A34B1"/>
    <w:rsid w:val="001A3566"/>
    <w:rsid w:val="001A3618"/>
    <w:rsid w:val="001A385C"/>
    <w:rsid w:val="001A4CF2"/>
    <w:rsid w:val="001A66EB"/>
    <w:rsid w:val="001A757E"/>
    <w:rsid w:val="001A7C50"/>
    <w:rsid w:val="001B001A"/>
    <w:rsid w:val="001B0B99"/>
    <w:rsid w:val="001B139E"/>
    <w:rsid w:val="001B1659"/>
    <w:rsid w:val="001B26A2"/>
    <w:rsid w:val="001B26DF"/>
    <w:rsid w:val="001B2759"/>
    <w:rsid w:val="001B2874"/>
    <w:rsid w:val="001B2FB5"/>
    <w:rsid w:val="001B3FCF"/>
    <w:rsid w:val="001B4F39"/>
    <w:rsid w:val="001B5A7A"/>
    <w:rsid w:val="001B5CEF"/>
    <w:rsid w:val="001B600E"/>
    <w:rsid w:val="001B6DD9"/>
    <w:rsid w:val="001B7078"/>
    <w:rsid w:val="001B741E"/>
    <w:rsid w:val="001C0B32"/>
    <w:rsid w:val="001C1C00"/>
    <w:rsid w:val="001C2109"/>
    <w:rsid w:val="001C2CBC"/>
    <w:rsid w:val="001C31F8"/>
    <w:rsid w:val="001C4DBA"/>
    <w:rsid w:val="001C6297"/>
    <w:rsid w:val="001C722C"/>
    <w:rsid w:val="001C7296"/>
    <w:rsid w:val="001C7478"/>
    <w:rsid w:val="001C7C6D"/>
    <w:rsid w:val="001D00CD"/>
    <w:rsid w:val="001D027A"/>
    <w:rsid w:val="001D070B"/>
    <w:rsid w:val="001D0B9C"/>
    <w:rsid w:val="001D2605"/>
    <w:rsid w:val="001D2607"/>
    <w:rsid w:val="001D2659"/>
    <w:rsid w:val="001D4849"/>
    <w:rsid w:val="001D72DE"/>
    <w:rsid w:val="001D7610"/>
    <w:rsid w:val="001D77C6"/>
    <w:rsid w:val="001E019B"/>
    <w:rsid w:val="001E05B6"/>
    <w:rsid w:val="001E2399"/>
    <w:rsid w:val="001E3734"/>
    <w:rsid w:val="001E3905"/>
    <w:rsid w:val="001E4716"/>
    <w:rsid w:val="001E5628"/>
    <w:rsid w:val="001E61E9"/>
    <w:rsid w:val="001E66BE"/>
    <w:rsid w:val="001E69FE"/>
    <w:rsid w:val="001E7361"/>
    <w:rsid w:val="001E79CA"/>
    <w:rsid w:val="001F057B"/>
    <w:rsid w:val="001F1510"/>
    <w:rsid w:val="001F187D"/>
    <w:rsid w:val="001F1EA4"/>
    <w:rsid w:val="001F30D1"/>
    <w:rsid w:val="001F4861"/>
    <w:rsid w:val="001F62FE"/>
    <w:rsid w:val="001F63E2"/>
    <w:rsid w:val="001F763C"/>
    <w:rsid w:val="002003E2"/>
    <w:rsid w:val="002004CE"/>
    <w:rsid w:val="002005DE"/>
    <w:rsid w:val="00201B2D"/>
    <w:rsid w:val="002021E9"/>
    <w:rsid w:val="00202958"/>
    <w:rsid w:val="002034F4"/>
    <w:rsid w:val="00203B87"/>
    <w:rsid w:val="002040BC"/>
    <w:rsid w:val="00204880"/>
    <w:rsid w:val="00204CD3"/>
    <w:rsid w:val="00206D67"/>
    <w:rsid w:val="00207211"/>
    <w:rsid w:val="00207B24"/>
    <w:rsid w:val="00207D19"/>
    <w:rsid w:val="00207FB2"/>
    <w:rsid w:val="00211277"/>
    <w:rsid w:val="002119FA"/>
    <w:rsid w:val="00211C61"/>
    <w:rsid w:val="00211CF2"/>
    <w:rsid w:val="00212D1C"/>
    <w:rsid w:val="0021358A"/>
    <w:rsid w:val="00213DB4"/>
    <w:rsid w:val="00214E0E"/>
    <w:rsid w:val="00216B88"/>
    <w:rsid w:val="002170CC"/>
    <w:rsid w:val="00217209"/>
    <w:rsid w:val="00217867"/>
    <w:rsid w:val="00220021"/>
    <w:rsid w:val="00220246"/>
    <w:rsid w:val="002202E9"/>
    <w:rsid w:val="002203AE"/>
    <w:rsid w:val="00220465"/>
    <w:rsid w:val="002207DE"/>
    <w:rsid w:val="00220C5C"/>
    <w:rsid w:val="00222885"/>
    <w:rsid w:val="00222FCC"/>
    <w:rsid w:val="0022330C"/>
    <w:rsid w:val="0022339D"/>
    <w:rsid w:val="002235D2"/>
    <w:rsid w:val="002266A2"/>
    <w:rsid w:val="0022695B"/>
    <w:rsid w:val="00226E6B"/>
    <w:rsid w:val="002277FD"/>
    <w:rsid w:val="00230C3E"/>
    <w:rsid w:val="00231E31"/>
    <w:rsid w:val="002327D7"/>
    <w:rsid w:val="002331B9"/>
    <w:rsid w:val="002337F3"/>
    <w:rsid w:val="00233DC5"/>
    <w:rsid w:val="00233E81"/>
    <w:rsid w:val="002347BE"/>
    <w:rsid w:val="00234B63"/>
    <w:rsid w:val="002350D2"/>
    <w:rsid w:val="00236AA6"/>
    <w:rsid w:val="00236EBF"/>
    <w:rsid w:val="002401A6"/>
    <w:rsid w:val="002405FE"/>
    <w:rsid w:val="0024074A"/>
    <w:rsid w:val="00240F07"/>
    <w:rsid w:val="00241188"/>
    <w:rsid w:val="002433E4"/>
    <w:rsid w:val="00243826"/>
    <w:rsid w:val="002438AF"/>
    <w:rsid w:val="002472AB"/>
    <w:rsid w:val="00247EDD"/>
    <w:rsid w:val="00247FD7"/>
    <w:rsid w:val="002500F3"/>
    <w:rsid w:val="002502DC"/>
    <w:rsid w:val="00251656"/>
    <w:rsid w:val="002523C5"/>
    <w:rsid w:val="0025269C"/>
    <w:rsid w:val="00252CDE"/>
    <w:rsid w:val="00252E21"/>
    <w:rsid w:val="00252FE0"/>
    <w:rsid w:val="00253395"/>
    <w:rsid w:val="0025340B"/>
    <w:rsid w:val="00253CB4"/>
    <w:rsid w:val="00253FA8"/>
    <w:rsid w:val="00254805"/>
    <w:rsid w:val="00254C0F"/>
    <w:rsid w:val="00255422"/>
    <w:rsid w:val="002564AE"/>
    <w:rsid w:val="00260047"/>
    <w:rsid w:val="002636E3"/>
    <w:rsid w:val="00263F34"/>
    <w:rsid w:val="0026543A"/>
    <w:rsid w:val="00265D40"/>
    <w:rsid w:val="0026632D"/>
    <w:rsid w:val="002675F4"/>
    <w:rsid w:val="00267799"/>
    <w:rsid w:val="0027022E"/>
    <w:rsid w:val="002707BE"/>
    <w:rsid w:val="00270A8C"/>
    <w:rsid w:val="00270DE4"/>
    <w:rsid w:val="00270DF0"/>
    <w:rsid w:val="00271197"/>
    <w:rsid w:val="0027135E"/>
    <w:rsid w:val="00272CB7"/>
    <w:rsid w:val="0027373A"/>
    <w:rsid w:val="00273F19"/>
    <w:rsid w:val="00274155"/>
    <w:rsid w:val="0027436C"/>
    <w:rsid w:val="00274FD7"/>
    <w:rsid w:val="0027548F"/>
    <w:rsid w:val="00275758"/>
    <w:rsid w:val="00275A7B"/>
    <w:rsid w:val="00275D84"/>
    <w:rsid w:val="002776AD"/>
    <w:rsid w:val="0027792D"/>
    <w:rsid w:val="002817D3"/>
    <w:rsid w:val="00281CEC"/>
    <w:rsid w:val="0028256D"/>
    <w:rsid w:val="002834B5"/>
    <w:rsid w:val="00285100"/>
    <w:rsid w:val="00285E90"/>
    <w:rsid w:val="00285EA2"/>
    <w:rsid w:val="00287203"/>
    <w:rsid w:val="00287E6E"/>
    <w:rsid w:val="00290531"/>
    <w:rsid w:val="00291469"/>
    <w:rsid w:val="00292016"/>
    <w:rsid w:val="002936D3"/>
    <w:rsid w:val="00293DB9"/>
    <w:rsid w:val="00294425"/>
    <w:rsid w:val="002947FB"/>
    <w:rsid w:val="00294F92"/>
    <w:rsid w:val="00295104"/>
    <w:rsid w:val="002958AF"/>
    <w:rsid w:val="00295B35"/>
    <w:rsid w:val="00295EE3"/>
    <w:rsid w:val="002962BF"/>
    <w:rsid w:val="00296404"/>
    <w:rsid w:val="002970BA"/>
    <w:rsid w:val="002A02D5"/>
    <w:rsid w:val="002A0FA5"/>
    <w:rsid w:val="002A2371"/>
    <w:rsid w:val="002A2505"/>
    <w:rsid w:val="002A2F16"/>
    <w:rsid w:val="002A3A80"/>
    <w:rsid w:val="002A3C9F"/>
    <w:rsid w:val="002A4186"/>
    <w:rsid w:val="002A4396"/>
    <w:rsid w:val="002A455F"/>
    <w:rsid w:val="002A5823"/>
    <w:rsid w:val="002A5B4C"/>
    <w:rsid w:val="002A61B8"/>
    <w:rsid w:val="002A6EB1"/>
    <w:rsid w:val="002A758E"/>
    <w:rsid w:val="002B01F6"/>
    <w:rsid w:val="002B10E2"/>
    <w:rsid w:val="002B18D1"/>
    <w:rsid w:val="002B18DB"/>
    <w:rsid w:val="002B1C2F"/>
    <w:rsid w:val="002B1FA1"/>
    <w:rsid w:val="002B299B"/>
    <w:rsid w:val="002B3D9C"/>
    <w:rsid w:val="002B43FC"/>
    <w:rsid w:val="002B5067"/>
    <w:rsid w:val="002C205A"/>
    <w:rsid w:val="002C307D"/>
    <w:rsid w:val="002C3270"/>
    <w:rsid w:val="002C3A37"/>
    <w:rsid w:val="002C47D9"/>
    <w:rsid w:val="002C4E9B"/>
    <w:rsid w:val="002C623A"/>
    <w:rsid w:val="002C75B2"/>
    <w:rsid w:val="002C7CC9"/>
    <w:rsid w:val="002C7DDA"/>
    <w:rsid w:val="002D2D48"/>
    <w:rsid w:val="002D3A34"/>
    <w:rsid w:val="002D3C9D"/>
    <w:rsid w:val="002D50DB"/>
    <w:rsid w:val="002D519F"/>
    <w:rsid w:val="002D59FF"/>
    <w:rsid w:val="002D60A3"/>
    <w:rsid w:val="002D6917"/>
    <w:rsid w:val="002D6D60"/>
    <w:rsid w:val="002D6ED1"/>
    <w:rsid w:val="002D7175"/>
    <w:rsid w:val="002E033C"/>
    <w:rsid w:val="002E095E"/>
    <w:rsid w:val="002E0AB7"/>
    <w:rsid w:val="002E13D6"/>
    <w:rsid w:val="002E1D8E"/>
    <w:rsid w:val="002E1FAA"/>
    <w:rsid w:val="002E2C8D"/>
    <w:rsid w:val="002E50F8"/>
    <w:rsid w:val="002E57B5"/>
    <w:rsid w:val="002E5863"/>
    <w:rsid w:val="002E5D42"/>
    <w:rsid w:val="002E6476"/>
    <w:rsid w:val="002E67B4"/>
    <w:rsid w:val="002E6970"/>
    <w:rsid w:val="002E6D99"/>
    <w:rsid w:val="002E6DF6"/>
    <w:rsid w:val="002F0CEE"/>
    <w:rsid w:val="002F0D29"/>
    <w:rsid w:val="002F0EE7"/>
    <w:rsid w:val="002F1C0B"/>
    <w:rsid w:val="002F26FB"/>
    <w:rsid w:val="002F45D3"/>
    <w:rsid w:val="002F500E"/>
    <w:rsid w:val="002F6FEA"/>
    <w:rsid w:val="002F73A5"/>
    <w:rsid w:val="003001E0"/>
    <w:rsid w:val="003003A7"/>
    <w:rsid w:val="00300FED"/>
    <w:rsid w:val="003014B8"/>
    <w:rsid w:val="00302733"/>
    <w:rsid w:val="00302999"/>
    <w:rsid w:val="00302FE7"/>
    <w:rsid w:val="00303498"/>
    <w:rsid w:val="00304619"/>
    <w:rsid w:val="00304810"/>
    <w:rsid w:val="00304D7F"/>
    <w:rsid w:val="00305023"/>
    <w:rsid w:val="00305B6D"/>
    <w:rsid w:val="003071BE"/>
    <w:rsid w:val="0030776B"/>
    <w:rsid w:val="00307B94"/>
    <w:rsid w:val="00307FFC"/>
    <w:rsid w:val="00310E28"/>
    <w:rsid w:val="00311636"/>
    <w:rsid w:val="0031277E"/>
    <w:rsid w:val="00312CB4"/>
    <w:rsid w:val="00312E22"/>
    <w:rsid w:val="00313FD3"/>
    <w:rsid w:val="00314506"/>
    <w:rsid w:val="003149F8"/>
    <w:rsid w:val="00314E7E"/>
    <w:rsid w:val="0031516F"/>
    <w:rsid w:val="003154FA"/>
    <w:rsid w:val="0031601B"/>
    <w:rsid w:val="0031629D"/>
    <w:rsid w:val="00316907"/>
    <w:rsid w:val="003171F6"/>
    <w:rsid w:val="00317EDD"/>
    <w:rsid w:val="0032134E"/>
    <w:rsid w:val="00321432"/>
    <w:rsid w:val="0032170C"/>
    <w:rsid w:val="003217B5"/>
    <w:rsid w:val="003226AA"/>
    <w:rsid w:val="003231DB"/>
    <w:rsid w:val="00323381"/>
    <w:rsid w:val="00323711"/>
    <w:rsid w:val="00323797"/>
    <w:rsid w:val="00323BB5"/>
    <w:rsid w:val="00324ABA"/>
    <w:rsid w:val="00325180"/>
    <w:rsid w:val="0032554E"/>
    <w:rsid w:val="0032599A"/>
    <w:rsid w:val="00326088"/>
    <w:rsid w:val="00326630"/>
    <w:rsid w:val="00326650"/>
    <w:rsid w:val="0032727E"/>
    <w:rsid w:val="0033216C"/>
    <w:rsid w:val="00332699"/>
    <w:rsid w:val="00332EB6"/>
    <w:rsid w:val="00333AE6"/>
    <w:rsid w:val="00335935"/>
    <w:rsid w:val="0033679E"/>
    <w:rsid w:val="0033692F"/>
    <w:rsid w:val="003370CD"/>
    <w:rsid w:val="00340BB3"/>
    <w:rsid w:val="003413E8"/>
    <w:rsid w:val="003450BC"/>
    <w:rsid w:val="003471C4"/>
    <w:rsid w:val="0035050E"/>
    <w:rsid w:val="003507F4"/>
    <w:rsid w:val="003513A0"/>
    <w:rsid w:val="00351476"/>
    <w:rsid w:val="00353110"/>
    <w:rsid w:val="00353652"/>
    <w:rsid w:val="003541F3"/>
    <w:rsid w:val="00355A3A"/>
    <w:rsid w:val="0035794E"/>
    <w:rsid w:val="00357BFD"/>
    <w:rsid w:val="00360261"/>
    <w:rsid w:val="00361E1A"/>
    <w:rsid w:val="00362310"/>
    <w:rsid w:val="00362333"/>
    <w:rsid w:val="00363BB1"/>
    <w:rsid w:val="00364AE9"/>
    <w:rsid w:val="0036560E"/>
    <w:rsid w:val="0036713E"/>
    <w:rsid w:val="003678CD"/>
    <w:rsid w:val="00367BBA"/>
    <w:rsid w:val="003702AF"/>
    <w:rsid w:val="00370F0F"/>
    <w:rsid w:val="00370FF1"/>
    <w:rsid w:val="0037125A"/>
    <w:rsid w:val="003715EC"/>
    <w:rsid w:val="00372A4D"/>
    <w:rsid w:val="00372B57"/>
    <w:rsid w:val="0037370C"/>
    <w:rsid w:val="00373A83"/>
    <w:rsid w:val="00373B14"/>
    <w:rsid w:val="00375E7C"/>
    <w:rsid w:val="00375FB7"/>
    <w:rsid w:val="003766F2"/>
    <w:rsid w:val="00376E38"/>
    <w:rsid w:val="00377551"/>
    <w:rsid w:val="00377F28"/>
    <w:rsid w:val="00380B56"/>
    <w:rsid w:val="00381025"/>
    <w:rsid w:val="0038138D"/>
    <w:rsid w:val="0038193D"/>
    <w:rsid w:val="00381A03"/>
    <w:rsid w:val="00381C96"/>
    <w:rsid w:val="00381FAD"/>
    <w:rsid w:val="00382B81"/>
    <w:rsid w:val="0038328A"/>
    <w:rsid w:val="003842CC"/>
    <w:rsid w:val="00385A49"/>
    <w:rsid w:val="0038670F"/>
    <w:rsid w:val="00386A04"/>
    <w:rsid w:val="00387C1C"/>
    <w:rsid w:val="00390842"/>
    <w:rsid w:val="003917C6"/>
    <w:rsid w:val="00391BC0"/>
    <w:rsid w:val="00392423"/>
    <w:rsid w:val="003925FC"/>
    <w:rsid w:val="00393634"/>
    <w:rsid w:val="00393D1D"/>
    <w:rsid w:val="00393E3E"/>
    <w:rsid w:val="0039441B"/>
    <w:rsid w:val="00394472"/>
    <w:rsid w:val="003956C4"/>
    <w:rsid w:val="00395A42"/>
    <w:rsid w:val="003964F4"/>
    <w:rsid w:val="00397D32"/>
    <w:rsid w:val="003A00FA"/>
    <w:rsid w:val="003A04D1"/>
    <w:rsid w:val="003A0617"/>
    <w:rsid w:val="003A0AAB"/>
    <w:rsid w:val="003A110E"/>
    <w:rsid w:val="003A143C"/>
    <w:rsid w:val="003A1921"/>
    <w:rsid w:val="003A26D3"/>
    <w:rsid w:val="003A392D"/>
    <w:rsid w:val="003A41B3"/>
    <w:rsid w:val="003A48F8"/>
    <w:rsid w:val="003A6FDB"/>
    <w:rsid w:val="003A71B2"/>
    <w:rsid w:val="003A7677"/>
    <w:rsid w:val="003B0086"/>
    <w:rsid w:val="003B0565"/>
    <w:rsid w:val="003B1328"/>
    <w:rsid w:val="003B17AC"/>
    <w:rsid w:val="003B1FF2"/>
    <w:rsid w:val="003B2A72"/>
    <w:rsid w:val="003B4499"/>
    <w:rsid w:val="003B45A6"/>
    <w:rsid w:val="003B5166"/>
    <w:rsid w:val="003B5AAF"/>
    <w:rsid w:val="003B60A7"/>
    <w:rsid w:val="003B6418"/>
    <w:rsid w:val="003B7054"/>
    <w:rsid w:val="003C0A95"/>
    <w:rsid w:val="003C22FB"/>
    <w:rsid w:val="003C2C5F"/>
    <w:rsid w:val="003C31C7"/>
    <w:rsid w:val="003C3B08"/>
    <w:rsid w:val="003C3E7B"/>
    <w:rsid w:val="003C42A4"/>
    <w:rsid w:val="003C5C9C"/>
    <w:rsid w:val="003C6167"/>
    <w:rsid w:val="003C6380"/>
    <w:rsid w:val="003C6828"/>
    <w:rsid w:val="003C7509"/>
    <w:rsid w:val="003D0720"/>
    <w:rsid w:val="003D1744"/>
    <w:rsid w:val="003D1826"/>
    <w:rsid w:val="003D1AF9"/>
    <w:rsid w:val="003D28D9"/>
    <w:rsid w:val="003D3358"/>
    <w:rsid w:val="003D33EF"/>
    <w:rsid w:val="003D37CE"/>
    <w:rsid w:val="003D4A56"/>
    <w:rsid w:val="003D4F27"/>
    <w:rsid w:val="003D584E"/>
    <w:rsid w:val="003D5D00"/>
    <w:rsid w:val="003D6815"/>
    <w:rsid w:val="003D754D"/>
    <w:rsid w:val="003D7901"/>
    <w:rsid w:val="003E06E0"/>
    <w:rsid w:val="003E0D50"/>
    <w:rsid w:val="003E1AF4"/>
    <w:rsid w:val="003E2434"/>
    <w:rsid w:val="003E39BD"/>
    <w:rsid w:val="003E3B6D"/>
    <w:rsid w:val="003E3FB0"/>
    <w:rsid w:val="003E4033"/>
    <w:rsid w:val="003E5AE3"/>
    <w:rsid w:val="003E71CA"/>
    <w:rsid w:val="003F0629"/>
    <w:rsid w:val="003F0676"/>
    <w:rsid w:val="003F0ED6"/>
    <w:rsid w:val="003F10A9"/>
    <w:rsid w:val="003F146C"/>
    <w:rsid w:val="003F1B73"/>
    <w:rsid w:val="003F2844"/>
    <w:rsid w:val="003F3CFA"/>
    <w:rsid w:val="003F3E71"/>
    <w:rsid w:val="003F3F03"/>
    <w:rsid w:val="003F7B2D"/>
    <w:rsid w:val="00401280"/>
    <w:rsid w:val="00401357"/>
    <w:rsid w:val="004014C3"/>
    <w:rsid w:val="004014DA"/>
    <w:rsid w:val="00401CED"/>
    <w:rsid w:val="00401EA1"/>
    <w:rsid w:val="0040220E"/>
    <w:rsid w:val="00403542"/>
    <w:rsid w:val="00403964"/>
    <w:rsid w:val="004039B2"/>
    <w:rsid w:val="00404DFA"/>
    <w:rsid w:val="0040653D"/>
    <w:rsid w:val="00406F13"/>
    <w:rsid w:val="00407186"/>
    <w:rsid w:val="004076DE"/>
    <w:rsid w:val="004079E1"/>
    <w:rsid w:val="00407DDD"/>
    <w:rsid w:val="004106B7"/>
    <w:rsid w:val="00411B7C"/>
    <w:rsid w:val="00411BE1"/>
    <w:rsid w:val="004125C6"/>
    <w:rsid w:val="00412EDE"/>
    <w:rsid w:val="00413279"/>
    <w:rsid w:val="00414CA6"/>
    <w:rsid w:val="004158E0"/>
    <w:rsid w:val="0041696B"/>
    <w:rsid w:val="00421050"/>
    <w:rsid w:val="0042172C"/>
    <w:rsid w:val="00421CFC"/>
    <w:rsid w:val="00422A47"/>
    <w:rsid w:val="004230C8"/>
    <w:rsid w:val="00423C77"/>
    <w:rsid w:val="00423E0D"/>
    <w:rsid w:val="0042413E"/>
    <w:rsid w:val="0042462C"/>
    <w:rsid w:val="004246FE"/>
    <w:rsid w:val="00424BD2"/>
    <w:rsid w:val="00424C32"/>
    <w:rsid w:val="00424DA2"/>
    <w:rsid w:val="00425508"/>
    <w:rsid w:val="0042596F"/>
    <w:rsid w:val="0042648F"/>
    <w:rsid w:val="00426736"/>
    <w:rsid w:val="00426CD8"/>
    <w:rsid w:val="00431AA0"/>
    <w:rsid w:val="0043226C"/>
    <w:rsid w:val="00432509"/>
    <w:rsid w:val="00432C85"/>
    <w:rsid w:val="00434665"/>
    <w:rsid w:val="0043621E"/>
    <w:rsid w:val="0043627D"/>
    <w:rsid w:val="00437300"/>
    <w:rsid w:val="00437525"/>
    <w:rsid w:val="00440CCD"/>
    <w:rsid w:val="00441802"/>
    <w:rsid w:val="00442372"/>
    <w:rsid w:val="00444160"/>
    <w:rsid w:val="00444D89"/>
    <w:rsid w:val="00444F43"/>
    <w:rsid w:val="0044525C"/>
    <w:rsid w:val="0044599B"/>
    <w:rsid w:val="00446236"/>
    <w:rsid w:val="0044694B"/>
    <w:rsid w:val="00447850"/>
    <w:rsid w:val="00447A87"/>
    <w:rsid w:val="00450A48"/>
    <w:rsid w:val="004511AC"/>
    <w:rsid w:val="00451AA1"/>
    <w:rsid w:val="00451CC4"/>
    <w:rsid w:val="00452483"/>
    <w:rsid w:val="004524A0"/>
    <w:rsid w:val="004524B7"/>
    <w:rsid w:val="00453363"/>
    <w:rsid w:val="00453CA3"/>
    <w:rsid w:val="0045485A"/>
    <w:rsid w:val="004550C7"/>
    <w:rsid w:val="00455AA8"/>
    <w:rsid w:val="00455B8C"/>
    <w:rsid w:val="0045627A"/>
    <w:rsid w:val="0045698D"/>
    <w:rsid w:val="00456FC4"/>
    <w:rsid w:val="004606FB"/>
    <w:rsid w:val="00462034"/>
    <w:rsid w:val="004620DD"/>
    <w:rsid w:val="00462D82"/>
    <w:rsid w:val="00464918"/>
    <w:rsid w:val="00464FAE"/>
    <w:rsid w:val="00465681"/>
    <w:rsid w:val="00465C00"/>
    <w:rsid w:val="0046698C"/>
    <w:rsid w:val="00467919"/>
    <w:rsid w:val="004719AC"/>
    <w:rsid w:val="00471CDC"/>
    <w:rsid w:val="00472599"/>
    <w:rsid w:val="00472800"/>
    <w:rsid w:val="004733FE"/>
    <w:rsid w:val="0047412B"/>
    <w:rsid w:val="0047598D"/>
    <w:rsid w:val="00475FFC"/>
    <w:rsid w:val="00476D6E"/>
    <w:rsid w:val="004771A6"/>
    <w:rsid w:val="004800E1"/>
    <w:rsid w:val="0048091F"/>
    <w:rsid w:val="004810FF"/>
    <w:rsid w:val="00482C66"/>
    <w:rsid w:val="00482CC3"/>
    <w:rsid w:val="004851C5"/>
    <w:rsid w:val="004854DA"/>
    <w:rsid w:val="004855C0"/>
    <w:rsid w:val="0048573B"/>
    <w:rsid w:val="0048590F"/>
    <w:rsid w:val="004860D3"/>
    <w:rsid w:val="0048751A"/>
    <w:rsid w:val="0048762E"/>
    <w:rsid w:val="00487704"/>
    <w:rsid w:val="00487DCF"/>
    <w:rsid w:val="00490745"/>
    <w:rsid w:val="004917A3"/>
    <w:rsid w:val="00491CD6"/>
    <w:rsid w:val="0049260F"/>
    <w:rsid w:val="00492C62"/>
    <w:rsid w:val="00493722"/>
    <w:rsid w:val="00495A2E"/>
    <w:rsid w:val="00496594"/>
    <w:rsid w:val="00496FDA"/>
    <w:rsid w:val="00497127"/>
    <w:rsid w:val="00497142"/>
    <w:rsid w:val="00497E37"/>
    <w:rsid w:val="004A082A"/>
    <w:rsid w:val="004A1E96"/>
    <w:rsid w:val="004A29D5"/>
    <w:rsid w:val="004A32DF"/>
    <w:rsid w:val="004A3D15"/>
    <w:rsid w:val="004A440E"/>
    <w:rsid w:val="004A564A"/>
    <w:rsid w:val="004A57DE"/>
    <w:rsid w:val="004A5C80"/>
    <w:rsid w:val="004A6114"/>
    <w:rsid w:val="004A65F7"/>
    <w:rsid w:val="004A71DC"/>
    <w:rsid w:val="004A79E7"/>
    <w:rsid w:val="004B0399"/>
    <w:rsid w:val="004B1FA4"/>
    <w:rsid w:val="004B2AA3"/>
    <w:rsid w:val="004B3D3F"/>
    <w:rsid w:val="004B4412"/>
    <w:rsid w:val="004B4AF8"/>
    <w:rsid w:val="004B4FB7"/>
    <w:rsid w:val="004B60BB"/>
    <w:rsid w:val="004B63E5"/>
    <w:rsid w:val="004B64CB"/>
    <w:rsid w:val="004B7315"/>
    <w:rsid w:val="004B750C"/>
    <w:rsid w:val="004C0E96"/>
    <w:rsid w:val="004C14E9"/>
    <w:rsid w:val="004C25B6"/>
    <w:rsid w:val="004C275A"/>
    <w:rsid w:val="004C445B"/>
    <w:rsid w:val="004C4ED3"/>
    <w:rsid w:val="004C5698"/>
    <w:rsid w:val="004C6A0B"/>
    <w:rsid w:val="004C76F4"/>
    <w:rsid w:val="004C7B08"/>
    <w:rsid w:val="004C7DA9"/>
    <w:rsid w:val="004D03F3"/>
    <w:rsid w:val="004D0757"/>
    <w:rsid w:val="004D0B60"/>
    <w:rsid w:val="004D1137"/>
    <w:rsid w:val="004D1510"/>
    <w:rsid w:val="004D165D"/>
    <w:rsid w:val="004D1897"/>
    <w:rsid w:val="004D22F9"/>
    <w:rsid w:val="004D2D7B"/>
    <w:rsid w:val="004D3A25"/>
    <w:rsid w:val="004D4143"/>
    <w:rsid w:val="004D43A0"/>
    <w:rsid w:val="004D4885"/>
    <w:rsid w:val="004D48F2"/>
    <w:rsid w:val="004D4C81"/>
    <w:rsid w:val="004D4E51"/>
    <w:rsid w:val="004D5CD6"/>
    <w:rsid w:val="004D6464"/>
    <w:rsid w:val="004D6AFC"/>
    <w:rsid w:val="004D7F0E"/>
    <w:rsid w:val="004E0236"/>
    <w:rsid w:val="004E02E8"/>
    <w:rsid w:val="004E2BFD"/>
    <w:rsid w:val="004E3222"/>
    <w:rsid w:val="004E3A95"/>
    <w:rsid w:val="004E3E32"/>
    <w:rsid w:val="004E5A73"/>
    <w:rsid w:val="004E6F58"/>
    <w:rsid w:val="004E75D5"/>
    <w:rsid w:val="004E7D6E"/>
    <w:rsid w:val="004F0274"/>
    <w:rsid w:val="004F1B1A"/>
    <w:rsid w:val="004F1FC4"/>
    <w:rsid w:val="004F1FD4"/>
    <w:rsid w:val="004F34AE"/>
    <w:rsid w:val="004F4135"/>
    <w:rsid w:val="004F46D8"/>
    <w:rsid w:val="004F4915"/>
    <w:rsid w:val="004F4A63"/>
    <w:rsid w:val="004F4CE9"/>
    <w:rsid w:val="004F4FC2"/>
    <w:rsid w:val="004F53DD"/>
    <w:rsid w:val="004F7479"/>
    <w:rsid w:val="004F7DB5"/>
    <w:rsid w:val="00501046"/>
    <w:rsid w:val="005017DE"/>
    <w:rsid w:val="00501D7F"/>
    <w:rsid w:val="00502193"/>
    <w:rsid w:val="005029E4"/>
    <w:rsid w:val="00502A79"/>
    <w:rsid w:val="00502BF2"/>
    <w:rsid w:val="00502C8F"/>
    <w:rsid w:val="0050317D"/>
    <w:rsid w:val="00503B11"/>
    <w:rsid w:val="00504FFF"/>
    <w:rsid w:val="0050538A"/>
    <w:rsid w:val="0050585E"/>
    <w:rsid w:val="00506634"/>
    <w:rsid w:val="005105B2"/>
    <w:rsid w:val="00510815"/>
    <w:rsid w:val="005111A6"/>
    <w:rsid w:val="00511239"/>
    <w:rsid w:val="005143F4"/>
    <w:rsid w:val="0051460E"/>
    <w:rsid w:val="00516075"/>
    <w:rsid w:val="00517034"/>
    <w:rsid w:val="005207BE"/>
    <w:rsid w:val="00520880"/>
    <w:rsid w:val="005212A6"/>
    <w:rsid w:val="00521334"/>
    <w:rsid w:val="0052296E"/>
    <w:rsid w:val="00523FED"/>
    <w:rsid w:val="00524704"/>
    <w:rsid w:val="00524E41"/>
    <w:rsid w:val="00525A3D"/>
    <w:rsid w:val="005261AA"/>
    <w:rsid w:val="005261C3"/>
    <w:rsid w:val="00526ACA"/>
    <w:rsid w:val="0052731A"/>
    <w:rsid w:val="00527F9B"/>
    <w:rsid w:val="00530BB7"/>
    <w:rsid w:val="00532380"/>
    <w:rsid w:val="00532948"/>
    <w:rsid w:val="005343B0"/>
    <w:rsid w:val="00534C50"/>
    <w:rsid w:val="005352A5"/>
    <w:rsid w:val="005352AF"/>
    <w:rsid w:val="00536C6A"/>
    <w:rsid w:val="005373B9"/>
    <w:rsid w:val="0053742D"/>
    <w:rsid w:val="005378B9"/>
    <w:rsid w:val="00542117"/>
    <w:rsid w:val="00544674"/>
    <w:rsid w:val="00545670"/>
    <w:rsid w:val="00545878"/>
    <w:rsid w:val="00546263"/>
    <w:rsid w:val="00546BAA"/>
    <w:rsid w:val="00547FFD"/>
    <w:rsid w:val="005511F0"/>
    <w:rsid w:val="00551B4C"/>
    <w:rsid w:val="00551BF1"/>
    <w:rsid w:val="00552196"/>
    <w:rsid w:val="005530ED"/>
    <w:rsid w:val="00553740"/>
    <w:rsid w:val="0055528A"/>
    <w:rsid w:val="0055548E"/>
    <w:rsid w:val="005554C5"/>
    <w:rsid w:val="00555C5B"/>
    <w:rsid w:val="005562E0"/>
    <w:rsid w:val="00556B3D"/>
    <w:rsid w:val="00557885"/>
    <w:rsid w:val="00560FA6"/>
    <w:rsid w:val="00562E43"/>
    <w:rsid w:val="00564217"/>
    <w:rsid w:val="005658F8"/>
    <w:rsid w:val="00565A09"/>
    <w:rsid w:val="00565F47"/>
    <w:rsid w:val="00566555"/>
    <w:rsid w:val="0056753B"/>
    <w:rsid w:val="005678C0"/>
    <w:rsid w:val="0057090B"/>
    <w:rsid w:val="005725DF"/>
    <w:rsid w:val="00572E81"/>
    <w:rsid w:val="005730C2"/>
    <w:rsid w:val="0057336A"/>
    <w:rsid w:val="0057381B"/>
    <w:rsid w:val="005747FF"/>
    <w:rsid w:val="0057558D"/>
    <w:rsid w:val="00576FA2"/>
    <w:rsid w:val="0057748E"/>
    <w:rsid w:val="00577F00"/>
    <w:rsid w:val="00580147"/>
    <w:rsid w:val="0058292E"/>
    <w:rsid w:val="00583446"/>
    <w:rsid w:val="0058354E"/>
    <w:rsid w:val="00583D9B"/>
    <w:rsid w:val="00583FB6"/>
    <w:rsid w:val="00584280"/>
    <w:rsid w:val="0058499D"/>
    <w:rsid w:val="00585E87"/>
    <w:rsid w:val="00587387"/>
    <w:rsid w:val="00587AEB"/>
    <w:rsid w:val="00591B57"/>
    <w:rsid w:val="00592FB2"/>
    <w:rsid w:val="00593A93"/>
    <w:rsid w:val="00595BB4"/>
    <w:rsid w:val="00595CC1"/>
    <w:rsid w:val="005962F2"/>
    <w:rsid w:val="00597FCA"/>
    <w:rsid w:val="005A05E4"/>
    <w:rsid w:val="005A21EE"/>
    <w:rsid w:val="005A31EB"/>
    <w:rsid w:val="005A346F"/>
    <w:rsid w:val="005A39FC"/>
    <w:rsid w:val="005A3CEC"/>
    <w:rsid w:val="005A605F"/>
    <w:rsid w:val="005A6FA3"/>
    <w:rsid w:val="005A7397"/>
    <w:rsid w:val="005B3179"/>
    <w:rsid w:val="005B3A34"/>
    <w:rsid w:val="005B4098"/>
    <w:rsid w:val="005B423A"/>
    <w:rsid w:val="005B4A6E"/>
    <w:rsid w:val="005B4C92"/>
    <w:rsid w:val="005B5051"/>
    <w:rsid w:val="005B6922"/>
    <w:rsid w:val="005B6C9A"/>
    <w:rsid w:val="005B6DFA"/>
    <w:rsid w:val="005B7825"/>
    <w:rsid w:val="005C024D"/>
    <w:rsid w:val="005C1D3A"/>
    <w:rsid w:val="005C2999"/>
    <w:rsid w:val="005C3757"/>
    <w:rsid w:val="005C3972"/>
    <w:rsid w:val="005C3E46"/>
    <w:rsid w:val="005C4498"/>
    <w:rsid w:val="005C6139"/>
    <w:rsid w:val="005C6488"/>
    <w:rsid w:val="005C6D1F"/>
    <w:rsid w:val="005C73A8"/>
    <w:rsid w:val="005C77A9"/>
    <w:rsid w:val="005D066F"/>
    <w:rsid w:val="005D0D0F"/>
    <w:rsid w:val="005D2243"/>
    <w:rsid w:val="005D5D9E"/>
    <w:rsid w:val="005D6CC0"/>
    <w:rsid w:val="005D717F"/>
    <w:rsid w:val="005D722E"/>
    <w:rsid w:val="005D7F92"/>
    <w:rsid w:val="005E0B69"/>
    <w:rsid w:val="005E1143"/>
    <w:rsid w:val="005E1493"/>
    <w:rsid w:val="005E1EEF"/>
    <w:rsid w:val="005E302B"/>
    <w:rsid w:val="005E35D4"/>
    <w:rsid w:val="005E548E"/>
    <w:rsid w:val="005E6245"/>
    <w:rsid w:val="005E677D"/>
    <w:rsid w:val="005E794F"/>
    <w:rsid w:val="005E7FEC"/>
    <w:rsid w:val="005F03C0"/>
    <w:rsid w:val="005F09CF"/>
    <w:rsid w:val="005F1243"/>
    <w:rsid w:val="005F12F3"/>
    <w:rsid w:val="005F2063"/>
    <w:rsid w:val="005F2AC6"/>
    <w:rsid w:val="005F2B38"/>
    <w:rsid w:val="005F2E83"/>
    <w:rsid w:val="005F43DB"/>
    <w:rsid w:val="005F5F6C"/>
    <w:rsid w:val="005F6A18"/>
    <w:rsid w:val="005F6EA0"/>
    <w:rsid w:val="005F7AD2"/>
    <w:rsid w:val="006022F6"/>
    <w:rsid w:val="006034A5"/>
    <w:rsid w:val="006042D1"/>
    <w:rsid w:val="0060456A"/>
    <w:rsid w:val="00606625"/>
    <w:rsid w:val="006068B2"/>
    <w:rsid w:val="00606B38"/>
    <w:rsid w:val="006102DF"/>
    <w:rsid w:val="006106E6"/>
    <w:rsid w:val="006111F0"/>
    <w:rsid w:val="006119EC"/>
    <w:rsid w:val="006125FD"/>
    <w:rsid w:val="00613109"/>
    <w:rsid w:val="00613673"/>
    <w:rsid w:val="006139F5"/>
    <w:rsid w:val="0061453D"/>
    <w:rsid w:val="00614754"/>
    <w:rsid w:val="00614F09"/>
    <w:rsid w:val="00615BBC"/>
    <w:rsid w:val="00615C4F"/>
    <w:rsid w:val="0061608F"/>
    <w:rsid w:val="00617423"/>
    <w:rsid w:val="006175E7"/>
    <w:rsid w:val="00617A4A"/>
    <w:rsid w:val="00620875"/>
    <w:rsid w:val="00620B55"/>
    <w:rsid w:val="00620BF0"/>
    <w:rsid w:val="00620EF7"/>
    <w:rsid w:val="006211F4"/>
    <w:rsid w:val="006215EF"/>
    <w:rsid w:val="00621ED0"/>
    <w:rsid w:val="0062254B"/>
    <w:rsid w:val="00622F9B"/>
    <w:rsid w:val="0062320C"/>
    <w:rsid w:val="00623CC7"/>
    <w:rsid w:val="00624373"/>
    <w:rsid w:val="00624795"/>
    <w:rsid w:val="006247C5"/>
    <w:rsid w:val="00624FBD"/>
    <w:rsid w:val="0062574F"/>
    <w:rsid w:val="006261AA"/>
    <w:rsid w:val="00626409"/>
    <w:rsid w:val="00626485"/>
    <w:rsid w:val="00630224"/>
    <w:rsid w:val="0063033A"/>
    <w:rsid w:val="00630EC7"/>
    <w:rsid w:val="00632797"/>
    <w:rsid w:val="006327D1"/>
    <w:rsid w:val="00632DBE"/>
    <w:rsid w:val="00633CCE"/>
    <w:rsid w:val="00633EC8"/>
    <w:rsid w:val="00635CF7"/>
    <w:rsid w:val="006360DE"/>
    <w:rsid w:val="0063654E"/>
    <w:rsid w:val="0063688D"/>
    <w:rsid w:val="00636998"/>
    <w:rsid w:val="00636DBD"/>
    <w:rsid w:val="0063728A"/>
    <w:rsid w:val="006378CA"/>
    <w:rsid w:val="00637BDC"/>
    <w:rsid w:val="006400DE"/>
    <w:rsid w:val="006401A5"/>
    <w:rsid w:val="00640842"/>
    <w:rsid w:val="00641D1D"/>
    <w:rsid w:val="0064237E"/>
    <w:rsid w:val="00642E79"/>
    <w:rsid w:val="00643B26"/>
    <w:rsid w:val="00644188"/>
    <w:rsid w:val="00645093"/>
    <w:rsid w:val="006463FA"/>
    <w:rsid w:val="00646814"/>
    <w:rsid w:val="00647330"/>
    <w:rsid w:val="00650D73"/>
    <w:rsid w:val="00651DC5"/>
    <w:rsid w:val="00654848"/>
    <w:rsid w:val="00655A4D"/>
    <w:rsid w:val="00656045"/>
    <w:rsid w:val="00657223"/>
    <w:rsid w:val="006572C1"/>
    <w:rsid w:val="00657D33"/>
    <w:rsid w:val="00660165"/>
    <w:rsid w:val="0066098D"/>
    <w:rsid w:val="00661C30"/>
    <w:rsid w:val="0066322B"/>
    <w:rsid w:val="006638E4"/>
    <w:rsid w:val="00664E06"/>
    <w:rsid w:val="00666681"/>
    <w:rsid w:val="00666D2F"/>
    <w:rsid w:val="00670278"/>
    <w:rsid w:val="006704F1"/>
    <w:rsid w:val="00671598"/>
    <w:rsid w:val="00672679"/>
    <w:rsid w:val="00672FAC"/>
    <w:rsid w:val="00673621"/>
    <w:rsid w:val="00674621"/>
    <w:rsid w:val="00674B68"/>
    <w:rsid w:val="006755C0"/>
    <w:rsid w:val="00675CA1"/>
    <w:rsid w:val="006769F9"/>
    <w:rsid w:val="006771B1"/>
    <w:rsid w:val="00677582"/>
    <w:rsid w:val="00677767"/>
    <w:rsid w:val="00680A35"/>
    <w:rsid w:val="0068107D"/>
    <w:rsid w:val="00681570"/>
    <w:rsid w:val="006819F6"/>
    <w:rsid w:val="00682407"/>
    <w:rsid w:val="006829B3"/>
    <w:rsid w:val="0068628D"/>
    <w:rsid w:val="0068714E"/>
    <w:rsid w:val="0068765F"/>
    <w:rsid w:val="006900F1"/>
    <w:rsid w:val="00690748"/>
    <w:rsid w:val="00691D7A"/>
    <w:rsid w:val="006939A6"/>
    <w:rsid w:val="00693EFC"/>
    <w:rsid w:val="006956EC"/>
    <w:rsid w:val="006967B2"/>
    <w:rsid w:val="00697030"/>
    <w:rsid w:val="006A0918"/>
    <w:rsid w:val="006A0A96"/>
    <w:rsid w:val="006A0C0C"/>
    <w:rsid w:val="006A16E3"/>
    <w:rsid w:val="006A27E3"/>
    <w:rsid w:val="006A5373"/>
    <w:rsid w:val="006A542F"/>
    <w:rsid w:val="006A664A"/>
    <w:rsid w:val="006A7B19"/>
    <w:rsid w:val="006B0DE4"/>
    <w:rsid w:val="006B4694"/>
    <w:rsid w:val="006B46C2"/>
    <w:rsid w:val="006B6CD4"/>
    <w:rsid w:val="006B6D54"/>
    <w:rsid w:val="006B715D"/>
    <w:rsid w:val="006B7507"/>
    <w:rsid w:val="006B7B40"/>
    <w:rsid w:val="006B7FC3"/>
    <w:rsid w:val="006C025B"/>
    <w:rsid w:val="006C04DC"/>
    <w:rsid w:val="006C0BDB"/>
    <w:rsid w:val="006C0D71"/>
    <w:rsid w:val="006C0EDC"/>
    <w:rsid w:val="006C178E"/>
    <w:rsid w:val="006C24CC"/>
    <w:rsid w:val="006C25E9"/>
    <w:rsid w:val="006C37F0"/>
    <w:rsid w:val="006C3800"/>
    <w:rsid w:val="006C46F6"/>
    <w:rsid w:val="006C47E8"/>
    <w:rsid w:val="006C4B9D"/>
    <w:rsid w:val="006C6AD0"/>
    <w:rsid w:val="006C702C"/>
    <w:rsid w:val="006D04F9"/>
    <w:rsid w:val="006D131F"/>
    <w:rsid w:val="006D1BBB"/>
    <w:rsid w:val="006D2015"/>
    <w:rsid w:val="006D205D"/>
    <w:rsid w:val="006D2B20"/>
    <w:rsid w:val="006D36D4"/>
    <w:rsid w:val="006D41A5"/>
    <w:rsid w:val="006D4821"/>
    <w:rsid w:val="006D58F2"/>
    <w:rsid w:val="006D63AB"/>
    <w:rsid w:val="006D6425"/>
    <w:rsid w:val="006D6C7C"/>
    <w:rsid w:val="006D7283"/>
    <w:rsid w:val="006E0656"/>
    <w:rsid w:val="006E07DF"/>
    <w:rsid w:val="006E1248"/>
    <w:rsid w:val="006E149E"/>
    <w:rsid w:val="006E3D8E"/>
    <w:rsid w:val="006E4107"/>
    <w:rsid w:val="006E4173"/>
    <w:rsid w:val="006E56FB"/>
    <w:rsid w:val="006E6E67"/>
    <w:rsid w:val="006E6E9B"/>
    <w:rsid w:val="006E76DA"/>
    <w:rsid w:val="006F0197"/>
    <w:rsid w:val="006F19A8"/>
    <w:rsid w:val="006F1B20"/>
    <w:rsid w:val="006F3A5A"/>
    <w:rsid w:val="006F3A93"/>
    <w:rsid w:val="006F3C64"/>
    <w:rsid w:val="006F4577"/>
    <w:rsid w:val="006F466B"/>
    <w:rsid w:val="006F46F3"/>
    <w:rsid w:val="006F67E3"/>
    <w:rsid w:val="006F7218"/>
    <w:rsid w:val="0070070D"/>
    <w:rsid w:val="00700ABF"/>
    <w:rsid w:val="00701831"/>
    <w:rsid w:val="0070190F"/>
    <w:rsid w:val="007021BC"/>
    <w:rsid w:val="007030B7"/>
    <w:rsid w:val="007056CF"/>
    <w:rsid w:val="0070579E"/>
    <w:rsid w:val="0070639E"/>
    <w:rsid w:val="007067FB"/>
    <w:rsid w:val="00706FC7"/>
    <w:rsid w:val="007070CF"/>
    <w:rsid w:val="00707CA9"/>
    <w:rsid w:val="0071032C"/>
    <w:rsid w:val="007104C2"/>
    <w:rsid w:val="00710D5D"/>
    <w:rsid w:val="00711134"/>
    <w:rsid w:val="007113AC"/>
    <w:rsid w:val="00711CC3"/>
    <w:rsid w:val="007121A4"/>
    <w:rsid w:val="007127A3"/>
    <w:rsid w:val="00713649"/>
    <w:rsid w:val="00713E06"/>
    <w:rsid w:val="00715181"/>
    <w:rsid w:val="00715D46"/>
    <w:rsid w:val="007163D9"/>
    <w:rsid w:val="0071693E"/>
    <w:rsid w:val="00722C52"/>
    <w:rsid w:val="00724F60"/>
    <w:rsid w:val="00725155"/>
    <w:rsid w:val="00725C05"/>
    <w:rsid w:val="00725C84"/>
    <w:rsid w:val="0072703B"/>
    <w:rsid w:val="00727AED"/>
    <w:rsid w:val="00730A72"/>
    <w:rsid w:val="00730AEA"/>
    <w:rsid w:val="00730E7C"/>
    <w:rsid w:val="00732E0F"/>
    <w:rsid w:val="0073300A"/>
    <w:rsid w:val="00733605"/>
    <w:rsid w:val="00733711"/>
    <w:rsid w:val="00733AFD"/>
    <w:rsid w:val="00734143"/>
    <w:rsid w:val="00735203"/>
    <w:rsid w:val="00735BBE"/>
    <w:rsid w:val="00736430"/>
    <w:rsid w:val="00736629"/>
    <w:rsid w:val="00736891"/>
    <w:rsid w:val="0073756E"/>
    <w:rsid w:val="007411C1"/>
    <w:rsid w:val="007423E8"/>
    <w:rsid w:val="00743239"/>
    <w:rsid w:val="007438A2"/>
    <w:rsid w:val="00744DAB"/>
    <w:rsid w:val="0074532A"/>
    <w:rsid w:val="00745C24"/>
    <w:rsid w:val="007463B0"/>
    <w:rsid w:val="00747294"/>
    <w:rsid w:val="0075018A"/>
    <w:rsid w:val="007503B9"/>
    <w:rsid w:val="00750479"/>
    <w:rsid w:val="00750C34"/>
    <w:rsid w:val="00751292"/>
    <w:rsid w:val="0075212D"/>
    <w:rsid w:val="00752F1D"/>
    <w:rsid w:val="00754E2A"/>
    <w:rsid w:val="007555EF"/>
    <w:rsid w:val="00755C5A"/>
    <w:rsid w:val="007563B8"/>
    <w:rsid w:val="00756562"/>
    <w:rsid w:val="00756770"/>
    <w:rsid w:val="00757B44"/>
    <w:rsid w:val="007607A3"/>
    <w:rsid w:val="0076092E"/>
    <w:rsid w:val="0076119F"/>
    <w:rsid w:val="00762260"/>
    <w:rsid w:val="00762F1C"/>
    <w:rsid w:val="007630A5"/>
    <w:rsid w:val="00763364"/>
    <w:rsid w:val="00763656"/>
    <w:rsid w:val="007646BF"/>
    <w:rsid w:val="00765191"/>
    <w:rsid w:val="00766204"/>
    <w:rsid w:val="00766A15"/>
    <w:rsid w:val="007672CC"/>
    <w:rsid w:val="007678D4"/>
    <w:rsid w:val="00767997"/>
    <w:rsid w:val="00767E3B"/>
    <w:rsid w:val="00767E8A"/>
    <w:rsid w:val="00770A5C"/>
    <w:rsid w:val="007713DE"/>
    <w:rsid w:val="00771487"/>
    <w:rsid w:val="007720AC"/>
    <w:rsid w:val="00772177"/>
    <w:rsid w:val="007722D3"/>
    <w:rsid w:val="0077286C"/>
    <w:rsid w:val="00772AA1"/>
    <w:rsid w:val="00772B01"/>
    <w:rsid w:val="00772D5F"/>
    <w:rsid w:val="00775864"/>
    <w:rsid w:val="007766BF"/>
    <w:rsid w:val="00777005"/>
    <w:rsid w:val="007776D6"/>
    <w:rsid w:val="00777FE5"/>
    <w:rsid w:val="007816CD"/>
    <w:rsid w:val="007817A0"/>
    <w:rsid w:val="007818E0"/>
    <w:rsid w:val="00781C62"/>
    <w:rsid w:val="00782E9E"/>
    <w:rsid w:val="00783A0A"/>
    <w:rsid w:val="00784815"/>
    <w:rsid w:val="00786D43"/>
    <w:rsid w:val="00786EE2"/>
    <w:rsid w:val="00790D6E"/>
    <w:rsid w:val="007912F3"/>
    <w:rsid w:val="00791FAB"/>
    <w:rsid w:val="00791FC2"/>
    <w:rsid w:val="00792792"/>
    <w:rsid w:val="00792A95"/>
    <w:rsid w:val="00792C8E"/>
    <w:rsid w:val="00793425"/>
    <w:rsid w:val="00793D8A"/>
    <w:rsid w:val="007941F8"/>
    <w:rsid w:val="007951C4"/>
    <w:rsid w:val="0079561C"/>
    <w:rsid w:val="00795D88"/>
    <w:rsid w:val="00796D6F"/>
    <w:rsid w:val="007973CD"/>
    <w:rsid w:val="007A04FB"/>
    <w:rsid w:val="007A0831"/>
    <w:rsid w:val="007A090B"/>
    <w:rsid w:val="007A1904"/>
    <w:rsid w:val="007A2145"/>
    <w:rsid w:val="007A2467"/>
    <w:rsid w:val="007A287E"/>
    <w:rsid w:val="007A2D89"/>
    <w:rsid w:val="007A3E66"/>
    <w:rsid w:val="007A425A"/>
    <w:rsid w:val="007A48F5"/>
    <w:rsid w:val="007A4CEC"/>
    <w:rsid w:val="007A574D"/>
    <w:rsid w:val="007A5B96"/>
    <w:rsid w:val="007A68C0"/>
    <w:rsid w:val="007A706C"/>
    <w:rsid w:val="007B034B"/>
    <w:rsid w:val="007B1A57"/>
    <w:rsid w:val="007B20F2"/>
    <w:rsid w:val="007B271B"/>
    <w:rsid w:val="007B2B14"/>
    <w:rsid w:val="007B2FF4"/>
    <w:rsid w:val="007B318A"/>
    <w:rsid w:val="007B3850"/>
    <w:rsid w:val="007B3A09"/>
    <w:rsid w:val="007B482B"/>
    <w:rsid w:val="007B4AC6"/>
    <w:rsid w:val="007B7974"/>
    <w:rsid w:val="007C16D0"/>
    <w:rsid w:val="007C1F38"/>
    <w:rsid w:val="007C20DF"/>
    <w:rsid w:val="007C2134"/>
    <w:rsid w:val="007C30FE"/>
    <w:rsid w:val="007C3F49"/>
    <w:rsid w:val="007C4C24"/>
    <w:rsid w:val="007C634F"/>
    <w:rsid w:val="007C722B"/>
    <w:rsid w:val="007C729F"/>
    <w:rsid w:val="007D0131"/>
    <w:rsid w:val="007D12DC"/>
    <w:rsid w:val="007D1B63"/>
    <w:rsid w:val="007D25AF"/>
    <w:rsid w:val="007D37FC"/>
    <w:rsid w:val="007D3D38"/>
    <w:rsid w:val="007D3F59"/>
    <w:rsid w:val="007D40FA"/>
    <w:rsid w:val="007D4229"/>
    <w:rsid w:val="007D4652"/>
    <w:rsid w:val="007D4843"/>
    <w:rsid w:val="007D4E91"/>
    <w:rsid w:val="007D5BAE"/>
    <w:rsid w:val="007D62DC"/>
    <w:rsid w:val="007D71B8"/>
    <w:rsid w:val="007D7510"/>
    <w:rsid w:val="007D7F57"/>
    <w:rsid w:val="007E08F0"/>
    <w:rsid w:val="007E0B4A"/>
    <w:rsid w:val="007E1524"/>
    <w:rsid w:val="007E168B"/>
    <w:rsid w:val="007E29B0"/>
    <w:rsid w:val="007E2E62"/>
    <w:rsid w:val="007E2F92"/>
    <w:rsid w:val="007E38F5"/>
    <w:rsid w:val="007E38FF"/>
    <w:rsid w:val="007E39D4"/>
    <w:rsid w:val="007E4225"/>
    <w:rsid w:val="007E4292"/>
    <w:rsid w:val="007E44A8"/>
    <w:rsid w:val="007E45CA"/>
    <w:rsid w:val="007E6904"/>
    <w:rsid w:val="007F02C5"/>
    <w:rsid w:val="007F15CF"/>
    <w:rsid w:val="007F1FCC"/>
    <w:rsid w:val="007F2EFA"/>
    <w:rsid w:val="007F30E1"/>
    <w:rsid w:val="007F38D2"/>
    <w:rsid w:val="007F38D8"/>
    <w:rsid w:val="007F52B3"/>
    <w:rsid w:val="007F5BBE"/>
    <w:rsid w:val="007F5EDD"/>
    <w:rsid w:val="007F756B"/>
    <w:rsid w:val="00801777"/>
    <w:rsid w:val="00802013"/>
    <w:rsid w:val="0080369A"/>
    <w:rsid w:val="008051D1"/>
    <w:rsid w:val="008052D2"/>
    <w:rsid w:val="008063FD"/>
    <w:rsid w:val="008072E5"/>
    <w:rsid w:val="008076E2"/>
    <w:rsid w:val="00807D0D"/>
    <w:rsid w:val="00810327"/>
    <w:rsid w:val="0081039A"/>
    <w:rsid w:val="00810988"/>
    <w:rsid w:val="00810ECA"/>
    <w:rsid w:val="00811A4F"/>
    <w:rsid w:val="00811B64"/>
    <w:rsid w:val="00811FD1"/>
    <w:rsid w:val="00812148"/>
    <w:rsid w:val="008154D0"/>
    <w:rsid w:val="00816C8B"/>
    <w:rsid w:val="0081772A"/>
    <w:rsid w:val="00817BDE"/>
    <w:rsid w:val="00820471"/>
    <w:rsid w:val="0082213E"/>
    <w:rsid w:val="00822878"/>
    <w:rsid w:val="00822D37"/>
    <w:rsid w:val="0082385B"/>
    <w:rsid w:val="00823E99"/>
    <w:rsid w:val="00823EA0"/>
    <w:rsid w:val="00824995"/>
    <w:rsid w:val="00825698"/>
    <w:rsid w:val="0082575F"/>
    <w:rsid w:val="00826311"/>
    <w:rsid w:val="008265B2"/>
    <w:rsid w:val="0082778D"/>
    <w:rsid w:val="00831559"/>
    <w:rsid w:val="00831C84"/>
    <w:rsid w:val="00832496"/>
    <w:rsid w:val="0083335E"/>
    <w:rsid w:val="008333AE"/>
    <w:rsid w:val="00834646"/>
    <w:rsid w:val="00834A3C"/>
    <w:rsid w:val="008352C1"/>
    <w:rsid w:val="00835E6C"/>
    <w:rsid w:val="00836AF9"/>
    <w:rsid w:val="00837284"/>
    <w:rsid w:val="00837F69"/>
    <w:rsid w:val="0084079E"/>
    <w:rsid w:val="00842312"/>
    <w:rsid w:val="00842CD3"/>
    <w:rsid w:val="0084336D"/>
    <w:rsid w:val="0084349E"/>
    <w:rsid w:val="00844AA7"/>
    <w:rsid w:val="008463B4"/>
    <w:rsid w:val="00846556"/>
    <w:rsid w:val="00846990"/>
    <w:rsid w:val="00847351"/>
    <w:rsid w:val="008478BF"/>
    <w:rsid w:val="00847E08"/>
    <w:rsid w:val="00847E90"/>
    <w:rsid w:val="00850333"/>
    <w:rsid w:val="00850422"/>
    <w:rsid w:val="00851F5C"/>
    <w:rsid w:val="008520E1"/>
    <w:rsid w:val="00853716"/>
    <w:rsid w:val="00853BEE"/>
    <w:rsid w:val="00853D18"/>
    <w:rsid w:val="00853DCE"/>
    <w:rsid w:val="00854733"/>
    <w:rsid w:val="008559C7"/>
    <w:rsid w:val="008564CF"/>
    <w:rsid w:val="0085676F"/>
    <w:rsid w:val="008602A9"/>
    <w:rsid w:val="00861C79"/>
    <w:rsid w:val="0086227B"/>
    <w:rsid w:val="008622C3"/>
    <w:rsid w:val="008625D9"/>
    <w:rsid w:val="00863A01"/>
    <w:rsid w:val="00863DC5"/>
    <w:rsid w:val="00864914"/>
    <w:rsid w:val="00864A5A"/>
    <w:rsid w:val="00864A9D"/>
    <w:rsid w:val="0086532E"/>
    <w:rsid w:val="008671B3"/>
    <w:rsid w:val="00867235"/>
    <w:rsid w:val="00867F60"/>
    <w:rsid w:val="0087007D"/>
    <w:rsid w:val="008707BE"/>
    <w:rsid w:val="00870ABB"/>
    <w:rsid w:val="00871580"/>
    <w:rsid w:val="00871646"/>
    <w:rsid w:val="00873734"/>
    <w:rsid w:val="0087423E"/>
    <w:rsid w:val="00874CC1"/>
    <w:rsid w:val="00875687"/>
    <w:rsid w:val="00876019"/>
    <w:rsid w:val="00876652"/>
    <w:rsid w:val="008773EB"/>
    <w:rsid w:val="0088033F"/>
    <w:rsid w:val="0088224D"/>
    <w:rsid w:val="00883A8F"/>
    <w:rsid w:val="00884BF6"/>
    <w:rsid w:val="00885F3F"/>
    <w:rsid w:val="00886A7A"/>
    <w:rsid w:val="00886FF9"/>
    <w:rsid w:val="00887E5E"/>
    <w:rsid w:val="00890788"/>
    <w:rsid w:val="00890C41"/>
    <w:rsid w:val="00892167"/>
    <w:rsid w:val="00894BC7"/>
    <w:rsid w:val="00894EC4"/>
    <w:rsid w:val="0089597D"/>
    <w:rsid w:val="008963D0"/>
    <w:rsid w:val="0089786F"/>
    <w:rsid w:val="008A01C1"/>
    <w:rsid w:val="008A0C51"/>
    <w:rsid w:val="008A0DFB"/>
    <w:rsid w:val="008A200A"/>
    <w:rsid w:val="008A21B9"/>
    <w:rsid w:val="008A27EF"/>
    <w:rsid w:val="008A450A"/>
    <w:rsid w:val="008A458C"/>
    <w:rsid w:val="008A4B16"/>
    <w:rsid w:val="008A4F9C"/>
    <w:rsid w:val="008A62DB"/>
    <w:rsid w:val="008A6393"/>
    <w:rsid w:val="008A6DA6"/>
    <w:rsid w:val="008A78C2"/>
    <w:rsid w:val="008A7F7E"/>
    <w:rsid w:val="008B11D9"/>
    <w:rsid w:val="008B1875"/>
    <w:rsid w:val="008B2347"/>
    <w:rsid w:val="008B2701"/>
    <w:rsid w:val="008B2CA3"/>
    <w:rsid w:val="008B3218"/>
    <w:rsid w:val="008B3219"/>
    <w:rsid w:val="008B38CC"/>
    <w:rsid w:val="008B3DA0"/>
    <w:rsid w:val="008B460A"/>
    <w:rsid w:val="008B4E41"/>
    <w:rsid w:val="008B60CD"/>
    <w:rsid w:val="008B6346"/>
    <w:rsid w:val="008B7156"/>
    <w:rsid w:val="008B72D4"/>
    <w:rsid w:val="008C08B6"/>
    <w:rsid w:val="008C0D43"/>
    <w:rsid w:val="008C1773"/>
    <w:rsid w:val="008C1A68"/>
    <w:rsid w:val="008C29E2"/>
    <w:rsid w:val="008C3271"/>
    <w:rsid w:val="008C354F"/>
    <w:rsid w:val="008C4357"/>
    <w:rsid w:val="008C4FD2"/>
    <w:rsid w:val="008C58BB"/>
    <w:rsid w:val="008C5A1D"/>
    <w:rsid w:val="008C6443"/>
    <w:rsid w:val="008C658E"/>
    <w:rsid w:val="008C764B"/>
    <w:rsid w:val="008C7697"/>
    <w:rsid w:val="008D084A"/>
    <w:rsid w:val="008D1580"/>
    <w:rsid w:val="008D1FB9"/>
    <w:rsid w:val="008D2274"/>
    <w:rsid w:val="008D3124"/>
    <w:rsid w:val="008D3532"/>
    <w:rsid w:val="008D3602"/>
    <w:rsid w:val="008D4A71"/>
    <w:rsid w:val="008D510A"/>
    <w:rsid w:val="008D5411"/>
    <w:rsid w:val="008D5B5A"/>
    <w:rsid w:val="008D72FA"/>
    <w:rsid w:val="008D73E0"/>
    <w:rsid w:val="008D78F0"/>
    <w:rsid w:val="008E1B36"/>
    <w:rsid w:val="008E1CF4"/>
    <w:rsid w:val="008E1EF2"/>
    <w:rsid w:val="008E2046"/>
    <w:rsid w:val="008E289C"/>
    <w:rsid w:val="008E342E"/>
    <w:rsid w:val="008E420E"/>
    <w:rsid w:val="008E5662"/>
    <w:rsid w:val="008E63F6"/>
    <w:rsid w:val="008E7458"/>
    <w:rsid w:val="008E7588"/>
    <w:rsid w:val="008E7B28"/>
    <w:rsid w:val="008F045A"/>
    <w:rsid w:val="008F18AD"/>
    <w:rsid w:val="008F1F51"/>
    <w:rsid w:val="008F2638"/>
    <w:rsid w:val="008F32FB"/>
    <w:rsid w:val="008F35AE"/>
    <w:rsid w:val="008F3663"/>
    <w:rsid w:val="008F3B28"/>
    <w:rsid w:val="008F3C5C"/>
    <w:rsid w:val="008F3E74"/>
    <w:rsid w:val="008F4010"/>
    <w:rsid w:val="008F4DA1"/>
    <w:rsid w:val="008F6144"/>
    <w:rsid w:val="008F6221"/>
    <w:rsid w:val="008F6C8A"/>
    <w:rsid w:val="008F72E1"/>
    <w:rsid w:val="008F7D85"/>
    <w:rsid w:val="0090048D"/>
    <w:rsid w:val="00900FCB"/>
    <w:rsid w:val="009014B0"/>
    <w:rsid w:val="00901863"/>
    <w:rsid w:val="009024ED"/>
    <w:rsid w:val="009039A6"/>
    <w:rsid w:val="00903F7F"/>
    <w:rsid w:val="00906ED8"/>
    <w:rsid w:val="00907448"/>
    <w:rsid w:val="00910039"/>
    <w:rsid w:val="00911494"/>
    <w:rsid w:val="00911B00"/>
    <w:rsid w:val="009122C0"/>
    <w:rsid w:val="00913CD6"/>
    <w:rsid w:val="00913CD7"/>
    <w:rsid w:val="00913EC1"/>
    <w:rsid w:val="009145D2"/>
    <w:rsid w:val="00914A03"/>
    <w:rsid w:val="0091553D"/>
    <w:rsid w:val="0091557B"/>
    <w:rsid w:val="00915DA8"/>
    <w:rsid w:val="0091600A"/>
    <w:rsid w:val="00916342"/>
    <w:rsid w:val="0091727F"/>
    <w:rsid w:val="00917788"/>
    <w:rsid w:val="009177BD"/>
    <w:rsid w:val="009209C7"/>
    <w:rsid w:val="0092147B"/>
    <w:rsid w:val="00922F43"/>
    <w:rsid w:val="00923187"/>
    <w:rsid w:val="009242AC"/>
    <w:rsid w:val="0092517E"/>
    <w:rsid w:val="0092573E"/>
    <w:rsid w:val="00925F3D"/>
    <w:rsid w:val="0092749B"/>
    <w:rsid w:val="009278BB"/>
    <w:rsid w:val="00927A75"/>
    <w:rsid w:val="00927FA0"/>
    <w:rsid w:val="00930786"/>
    <w:rsid w:val="00930BC1"/>
    <w:rsid w:val="00930FC1"/>
    <w:rsid w:val="00931509"/>
    <w:rsid w:val="009322EA"/>
    <w:rsid w:val="00933DFD"/>
    <w:rsid w:val="0093487C"/>
    <w:rsid w:val="00934BFC"/>
    <w:rsid w:val="0093528B"/>
    <w:rsid w:val="00935760"/>
    <w:rsid w:val="00937269"/>
    <w:rsid w:val="009374C7"/>
    <w:rsid w:val="009378FD"/>
    <w:rsid w:val="00941045"/>
    <w:rsid w:val="00941077"/>
    <w:rsid w:val="009437C5"/>
    <w:rsid w:val="00943C53"/>
    <w:rsid w:val="00943E06"/>
    <w:rsid w:val="00944321"/>
    <w:rsid w:val="009444BB"/>
    <w:rsid w:val="009445C6"/>
    <w:rsid w:val="00944F3B"/>
    <w:rsid w:val="00945532"/>
    <w:rsid w:val="00945E60"/>
    <w:rsid w:val="009472A4"/>
    <w:rsid w:val="009474FF"/>
    <w:rsid w:val="00951572"/>
    <w:rsid w:val="00952A91"/>
    <w:rsid w:val="00952BC3"/>
    <w:rsid w:val="00952C54"/>
    <w:rsid w:val="0095307E"/>
    <w:rsid w:val="009533F6"/>
    <w:rsid w:val="009537AB"/>
    <w:rsid w:val="00953D4F"/>
    <w:rsid w:val="00954DD4"/>
    <w:rsid w:val="009565F4"/>
    <w:rsid w:val="00956CDD"/>
    <w:rsid w:val="00957CEB"/>
    <w:rsid w:val="00957E71"/>
    <w:rsid w:val="00960707"/>
    <w:rsid w:val="00960989"/>
    <w:rsid w:val="00961815"/>
    <w:rsid w:val="00961F74"/>
    <w:rsid w:val="00963942"/>
    <w:rsid w:val="00963F69"/>
    <w:rsid w:val="00964ABB"/>
    <w:rsid w:val="00964F33"/>
    <w:rsid w:val="009665E6"/>
    <w:rsid w:val="00966A33"/>
    <w:rsid w:val="0096753A"/>
    <w:rsid w:val="009677CF"/>
    <w:rsid w:val="00970BF0"/>
    <w:rsid w:val="00971A60"/>
    <w:rsid w:val="00972144"/>
    <w:rsid w:val="00972B68"/>
    <w:rsid w:val="00972CEA"/>
    <w:rsid w:val="00973E36"/>
    <w:rsid w:val="00973E3B"/>
    <w:rsid w:val="00974AAC"/>
    <w:rsid w:val="00975605"/>
    <w:rsid w:val="00976A5C"/>
    <w:rsid w:val="00976D80"/>
    <w:rsid w:val="00977930"/>
    <w:rsid w:val="009807FA"/>
    <w:rsid w:val="009809E8"/>
    <w:rsid w:val="00980CBB"/>
    <w:rsid w:val="00980E8A"/>
    <w:rsid w:val="00980F3C"/>
    <w:rsid w:val="009826C0"/>
    <w:rsid w:val="009835DF"/>
    <w:rsid w:val="00983943"/>
    <w:rsid w:val="00983BB1"/>
    <w:rsid w:val="00983CF4"/>
    <w:rsid w:val="00983CFB"/>
    <w:rsid w:val="009841C5"/>
    <w:rsid w:val="00984BD1"/>
    <w:rsid w:val="00985550"/>
    <w:rsid w:val="00985876"/>
    <w:rsid w:val="00986176"/>
    <w:rsid w:val="00986561"/>
    <w:rsid w:val="009867EF"/>
    <w:rsid w:val="00986CE2"/>
    <w:rsid w:val="00990006"/>
    <w:rsid w:val="00991177"/>
    <w:rsid w:val="009913AA"/>
    <w:rsid w:val="00991518"/>
    <w:rsid w:val="0099271A"/>
    <w:rsid w:val="009929AB"/>
    <w:rsid w:val="00992F55"/>
    <w:rsid w:val="009951F8"/>
    <w:rsid w:val="00995960"/>
    <w:rsid w:val="00995E02"/>
    <w:rsid w:val="009968DD"/>
    <w:rsid w:val="009A0DE1"/>
    <w:rsid w:val="009A1173"/>
    <w:rsid w:val="009A2CC0"/>
    <w:rsid w:val="009A40C4"/>
    <w:rsid w:val="009A439C"/>
    <w:rsid w:val="009A43F3"/>
    <w:rsid w:val="009A4A98"/>
    <w:rsid w:val="009A4CB6"/>
    <w:rsid w:val="009A4FEF"/>
    <w:rsid w:val="009A5188"/>
    <w:rsid w:val="009A5895"/>
    <w:rsid w:val="009A611A"/>
    <w:rsid w:val="009A6A2C"/>
    <w:rsid w:val="009A7C3F"/>
    <w:rsid w:val="009B1212"/>
    <w:rsid w:val="009B2167"/>
    <w:rsid w:val="009B2BE8"/>
    <w:rsid w:val="009B376A"/>
    <w:rsid w:val="009B4362"/>
    <w:rsid w:val="009B4733"/>
    <w:rsid w:val="009B4B50"/>
    <w:rsid w:val="009B4C99"/>
    <w:rsid w:val="009B5A7C"/>
    <w:rsid w:val="009B721F"/>
    <w:rsid w:val="009B79CE"/>
    <w:rsid w:val="009B7E6A"/>
    <w:rsid w:val="009C03D4"/>
    <w:rsid w:val="009C253C"/>
    <w:rsid w:val="009C577C"/>
    <w:rsid w:val="009C6302"/>
    <w:rsid w:val="009C6392"/>
    <w:rsid w:val="009C7824"/>
    <w:rsid w:val="009C7EF3"/>
    <w:rsid w:val="009D0120"/>
    <w:rsid w:val="009D0440"/>
    <w:rsid w:val="009D101A"/>
    <w:rsid w:val="009D1602"/>
    <w:rsid w:val="009D1C39"/>
    <w:rsid w:val="009D45CB"/>
    <w:rsid w:val="009D59CA"/>
    <w:rsid w:val="009D5D58"/>
    <w:rsid w:val="009D65E0"/>
    <w:rsid w:val="009D6B46"/>
    <w:rsid w:val="009D6B51"/>
    <w:rsid w:val="009D7619"/>
    <w:rsid w:val="009E00D9"/>
    <w:rsid w:val="009E04D4"/>
    <w:rsid w:val="009E0AD6"/>
    <w:rsid w:val="009E1321"/>
    <w:rsid w:val="009E1497"/>
    <w:rsid w:val="009E14FD"/>
    <w:rsid w:val="009E1A91"/>
    <w:rsid w:val="009E2E5E"/>
    <w:rsid w:val="009E3D97"/>
    <w:rsid w:val="009E441A"/>
    <w:rsid w:val="009E4EA0"/>
    <w:rsid w:val="009E50BD"/>
    <w:rsid w:val="009E63E2"/>
    <w:rsid w:val="009E6888"/>
    <w:rsid w:val="009E6935"/>
    <w:rsid w:val="009E6AE6"/>
    <w:rsid w:val="009E7755"/>
    <w:rsid w:val="009E7AB8"/>
    <w:rsid w:val="009F073A"/>
    <w:rsid w:val="009F19DC"/>
    <w:rsid w:val="009F2606"/>
    <w:rsid w:val="009F2A86"/>
    <w:rsid w:val="009F4765"/>
    <w:rsid w:val="009F4ED6"/>
    <w:rsid w:val="009F4EE7"/>
    <w:rsid w:val="009F67F9"/>
    <w:rsid w:val="009F7C61"/>
    <w:rsid w:val="00A000DE"/>
    <w:rsid w:val="00A04033"/>
    <w:rsid w:val="00A102DB"/>
    <w:rsid w:val="00A10BC9"/>
    <w:rsid w:val="00A1129C"/>
    <w:rsid w:val="00A1186D"/>
    <w:rsid w:val="00A123E7"/>
    <w:rsid w:val="00A12836"/>
    <w:rsid w:val="00A12A97"/>
    <w:rsid w:val="00A13166"/>
    <w:rsid w:val="00A13CC9"/>
    <w:rsid w:val="00A14283"/>
    <w:rsid w:val="00A146D7"/>
    <w:rsid w:val="00A1522E"/>
    <w:rsid w:val="00A154EB"/>
    <w:rsid w:val="00A15B35"/>
    <w:rsid w:val="00A15DD6"/>
    <w:rsid w:val="00A1623E"/>
    <w:rsid w:val="00A17403"/>
    <w:rsid w:val="00A177C5"/>
    <w:rsid w:val="00A17BCC"/>
    <w:rsid w:val="00A17C1A"/>
    <w:rsid w:val="00A17DA1"/>
    <w:rsid w:val="00A2001D"/>
    <w:rsid w:val="00A21FAE"/>
    <w:rsid w:val="00A22196"/>
    <w:rsid w:val="00A23693"/>
    <w:rsid w:val="00A23DDE"/>
    <w:rsid w:val="00A2437F"/>
    <w:rsid w:val="00A26F56"/>
    <w:rsid w:val="00A30220"/>
    <w:rsid w:val="00A30384"/>
    <w:rsid w:val="00A308B0"/>
    <w:rsid w:val="00A3113F"/>
    <w:rsid w:val="00A32486"/>
    <w:rsid w:val="00A32A2C"/>
    <w:rsid w:val="00A332D6"/>
    <w:rsid w:val="00A33361"/>
    <w:rsid w:val="00A33D4D"/>
    <w:rsid w:val="00A33D69"/>
    <w:rsid w:val="00A34104"/>
    <w:rsid w:val="00A342ED"/>
    <w:rsid w:val="00A343E4"/>
    <w:rsid w:val="00A34592"/>
    <w:rsid w:val="00A35593"/>
    <w:rsid w:val="00A356E1"/>
    <w:rsid w:val="00A36346"/>
    <w:rsid w:val="00A3675B"/>
    <w:rsid w:val="00A36BAF"/>
    <w:rsid w:val="00A36E4C"/>
    <w:rsid w:val="00A40740"/>
    <w:rsid w:val="00A4235B"/>
    <w:rsid w:val="00A4318E"/>
    <w:rsid w:val="00A458C0"/>
    <w:rsid w:val="00A45FD2"/>
    <w:rsid w:val="00A46046"/>
    <w:rsid w:val="00A46396"/>
    <w:rsid w:val="00A472E5"/>
    <w:rsid w:val="00A47C84"/>
    <w:rsid w:val="00A5086E"/>
    <w:rsid w:val="00A508B3"/>
    <w:rsid w:val="00A527DE"/>
    <w:rsid w:val="00A55789"/>
    <w:rsid w:val="00A55D5E"/>
    <w:rsid w:val="00A56D08"/>
    <w:rsid w:val="00A577B1"/>
    <w:rsid w:val="00A6090A"/>
    <w:rsid w:val="00A60EDB"/>
    <w:rsid w:val="00A61B86"/>
    <w:rsid w:val="00A61ED4"/>
    <w:rsid w:val="00A62131"/>
    <w:rsid w:val="00A622E3"/>
    <w:rsid w:val="00A62E9D"/>
    <w:rsid w:val="00A63BA6"/>
    <w:rsid w:val="00A63C5B"/>
    <w:rsid w:val="00A649C8"/>
    <w:rsid w:val="00A65108"/>
    <w:rsid w:val="00A66164"/>
    <w:rsid w:val="00A66D8F"/>
    <w:rsid w:val="00A6729C"/>
    <w:rsid w:val="00A67688"/>
    <w:rsid w:val="00A70F43"/>
    <w:rsid w:val="00A710D0"/>
    <w:rsid w:val="00A71CD5"/>
    <w:rsid w:val="00A72782"/>
    <w:rsid w:val="00A727F3"/>
    <w:rsid w:val="00A74C16"/>
    <w:rsid w:val="00A75053"/>
    <w:rsid w:val="00A75A31"/>
    <w:rsid w:val="00A7632E"/>
    <w:rsid w:val="00A76460"/>
    <w:rsid w:val="00A80ACD"/>
    <w:rsid w:val="00A813FC"/>
    <w:rsid w:val="00A82224"/>
    <w:rsid w:val="00A82926"/>
    <w:rsid w:val="00A82B3B"/>
    <w:rsid w:val="00A83F93"/>
    <w:rsid w:val="00A849D5"/>
    <w:rsid w:val="00A851B3"/>
    <w:rsid w:val="00A85753"/>
    <w:rsid w:val="00A86EBD"/>
    <w:rsid w:val="00A87D5E"/>
    <w:rsid w:val="00A90441"/>
    <w:rsid w:val="00A9049D"/>
    <w:rsid w:val="00A90686"/>
    <w:rsid w:val="00A91103"/>
    <w:rsid w:val="00A913DF"/>
    <w:rsid w:val="00A91CE2"/>
    <w:rsid w:val="00A92506"/>
    <w:rsid w:val="00A929ED"/>
    <w:rsid w:val="00A93165"/>
    <w:rsid w:val="00A93B53"/>
    <w:rsid w:val="00A950A7"/>
    <w:rsid w:val="00A951C7"/>
    <w:rsid w:val="00A95D0E"/>
    <w:rsid w:val="00A97476"/>
    <w:rsid w:val="00A97955"/>
    <w:rsid w:val="00AA0103"/>
    <w:rsid w:val="00AA07EB"/>
    <w:rsid w:val="00AA1810"/>
    <w:rsid w:val="00AA2004"/>
    <w:rsid w:val="00AA2AFA"/>
    <w:rsid w:val="00AA3353"/>
    <w:rsid w:val="00AA395C"/>
    <w:rsid w:val="00AA64FF"/>
    <w:rsid w:val="00AA66C8"/>
    <w:rsid w:val="00AA6BE9"/>
    <w:rsid w:val="00AB0BE0"/>
    <w:rsid w:val="00AB1272"/>
    <w:rsid w:val="00AB1509"/>
    <w:rsid w:val="00AB1BB0"/>
    <w:rsid w:val="00AB259B"/>
    <w:rsid w:val="00AB44E3"/>
    <w:rsid w:val="00AB4E0A"/>
    <w:rsid w:val="00AB50CB"/>
    <w:rsid w:val="00AB5292"/>
    <w:rsid w:val="00AB5374"/>
    <w:rsid w:val="00AB6C32"/>
    <w:rsid w:val="00AB7CA8"/>
    <w:rsid w:val="00AB7E6D"/>
    <w:rsid w:val="00AC0BA4"/>
    <w:rsid w:val="00AC177E"/>
    <w:rsid w:val="00AC3979"/>
    <w:rsid w:val="00AC47F7"/>
    <w:rsid w:val="00AC498B"/>
    <w:rsid w:val="00AC4D84"/>
    <w:rsid w:val="00AC5B26"/>
    <w:rsid w:val="00AC7B95"/>
    <w:rsid w:val="00AD0BBB"/>
    <w:rsid w:val="00AD2204"/>
    <w:rsid w:val="00AD2F54"/>
    <w:rsid w:val="00AD35B2"/>
    <w:rsid w:val="00AD48E8"/>
    <w:rsid w:val="00AD4CD8"/>
    <w:rsid w:val="00AD5A12"/>
    <w:rsid w:val="00AD5CD9"/>
    <w:rsid w:val="00AD6323"/>
    <w:rsid w:val="00AD6831"/>
    <w:rsid w:val="00AD7214"/>
    <w:rsid w:val="00AD7784"/>
    <w:rsid w:val="00AD78F4"/>
    <w:rsid w:val="00AD7BC8"/>
    <w:rsid w:val="00AD7DA3"/>
    <w:rsid w:val="00AE1339"/>
    <w:rsid w:val="00AE1A09"/>
    <w:rsid w:val="00AE2192"/>
    <w:rsid w:val="00AE23D7"/>
    <w:rsid w:val="00AE2D10"/>
    <w:rsid w:val="00AE2D7A"/>
    <w:rsid w:val="00AE337B"/>
    <w:rsid w:val="00AE3D01"/>
    <w:rsid w:val="00AE4603"/>
    <w:rsid w:val="00AE499C"/>
    <w:rsid w:val="00AE6208"/>
    <w:rsid w:val="00AE6746"/>
    <w:rsid w:val="00AE7B26"/>
    <w:rsid w:val="00AF06EA"/>
    <w:rsid w:val="00AF1C77"/>
    <w:rsid w:val="00AF2115"/>
    <w:rsid w:val="00AF21CF"/>
    <w:rsid w:val="00AF4957"/>
    <w:rsid w:val="00AF4CCD"/>
    <w:rsid w:val="00AF4FCC"/>
    <w:rsid w:val="00AF5A86"/>
    <w:rsid w:val="00AF64E3"/>
    <w:rsid w:val="00AF6898"/>
    <w:rsid w:val="00AF6E75"/>
    <w:rsid w:val="00AF76C4"/>
    <w:rsid w:val="00AF7DCA"/>
    <w:rsid w:val="00B008EF"/>
    <w:rsid w:val="00B0112D"/>
    <w:rsid w:val="00B016DD"/>
    <w:rsid w:val="00B02D62"/>
    <w:rsid w:val="00B03533"/>
    <w:rsid w:val="00B03DE7"/>
    <w:rsid w:val="00B0410C"/>
    <w:rsid w:val="00B04707"/>
    <w:rsid w:val="00B05DD7"/>
    <w:rsid w:val="00B0634B"/>
    <w:rsid w:val="00B06A6F"/>
    <w:rsid w:val="00B074A6"/>
    <w:rsid w:val="00B07B97"/>
    <w:rsid w:val="00B07DDE"/>
    <w:rsid w:val="00B111D7"/>
    <w:rsid w:val="00B12132"/>
    <w:rsid w:val="00B12325"/>
    <w:rsid w:val="00B12863"/>
    <w:rsid w:val="00B131C0"/>
    <w:rsid w:val="00B13AEB"/>
    <w:rsid w:val="00B13BE7"/>
    <w:rsid w:val="00B14242"/>
    <w:rsid w:val="00B15A75"/>
    <w:rsid w:val="00B205D4"/>
    <w:rsid w:val="00B21037"/>
    <w:rsid w:val="00B21581"/>
    <w:rsid w:val="00B21816"/>
    <w:rsid w:val="00B22320"/>
    <w:rsid w:val="00B225D9"/>
    <w:rsid w:val="00B2263E"/>
    <w:rsid w:val="00B22D9F"/>
    <w:rsid w:val="00B23037"/>
    <w:rsid w:val="00B23678"/>
    <w:rsid w:val="00B237AF"/>
    <w:rsid w:val="00B23D99"/>
    <w:rsid w:val="00B24D8C"/>
    <w:rsid w:val="00B2616D"/>
    <w:rsid w:val="00B26563"/>
    <w:rsid w:val="00B26E49"/>
    <w:rsid w:val="00B275B8"/>
    <w:rsid w:val="00B27EEB"/>
    <w:rsid w:val="00B312E1"/>
    <w:rsid w:val="00B3154D"/>
    <w:rsid w:val="00B31ECC"/>
    <w:rsid w:val="00B324C9"/>
    <w:rsid w:val="00B3302C"/>
    <w:rsid w:val="00B34409"/>
    <w:rsid w:val="00B3525E"/>
    <w:rsid w:val="00B40A79"/>
    <w:rsid w:val="00B44DF9"/>
    <w:rsid w:val="00B4517A"/>
    <w:rsid w:val="00B4567C"/>
    <w:rsid w:val="00B45B0D"/>
    <w:rsid w:val="00B45BCC"/>
    <w:rsid w:val="00B4607B"/>
    <w:rsid w:val="00B462B2"/>
    <w:rsid w:val="00B50190"/>
    <w:rsid w:val="00B50996"/>
    <w:rsid w:val="00B51988"/>
    <w:rsid w:val="00B5276A"/>
    <w:rsid w:val="00B52CD9"/>
    <w:rsid w:val="00B540EC"/>
    <w:rsid w:val="00B54BB7"/>
    <w:rsid w:val="00B559F1"/>
    <w:rsid w:val="00B55A9C"/>
    <w:rsid w:val="00B569CB"/>
    <w:rsid w:val="00B57222"/>
    <w:rsid w:val="00B6008C"/>
    <w:rsid w:val="00B60C89"/>
    <w:rsid w:val="00B611E6"/>
    <w:rsid w:val="00B61495"/>
    <w:rsid w:val="00B6203A"/>
    <w:rsid w:val="00B6267C"/>
    <w:rsid w:val="00B62D3A"/>
    <w:rsid w:val="00B6306B"/>
    <w:rsid w:val="00B63369"/>
    <w:rsid w:val="00B64582"/>
    <w:rsid w:val="00B6611A"/>
    <w:rsid w:val="00B67621"/>
    <w:rsid w:val="00B67CBC"/>
    <w:rsid w:val="00B70F1F"/>
    <w:rsid w:val="00B71317"/>
    <w:rsid w:val="00B71CFC"/>
    <w:rsid w:val="00B72686"/>
    <w:rsid w:val="00B74AB3"/>
    <w:rsid w:val="00B74E35"/>
    <w:rsid w:val="00B7619E"/>
    <w:rsid w:val="00B761DD"/>
    <w:rsid w:val="00B766D0"/>
    <w:rsid w:val="00B7692F"/>
    <w:rsid w:val="00B77491"/>
    <w:rsid w:val="00B77DC4"/>
    <w:rsid w:val="00B81283"/>
    <w:rsid w:val="00B819C6"/>
    <w:rsid w:val="00B823FE"/>
    <w:rsid w:val="00B82436"/>
    <w:rsid w:val="00B836DF"/>
    <w:rsid w:val="00B84254"/>
    <w:rsid w:val="00B8641E"/>
    <w:rsid w:val="00B87B35"/>
    <w:rsid w:val="00B87D1C"/>
    <w:rsid w:val="00B87EAD"/>
    <w:rsid w:val="00B90AE9"/>
    <w:rsid w:val="00B90C65"/>
    <w:rsid w:val="00B92741"/>
    <w:rsid w:val="00B92925"/>
    <w:rsid w:val="00B932C9"/>
    <w:rsid w:val="00B94194"/>
    <w:rsid w:val="00B956B2"/>
    <w:rsid w:val="00B9579D"/>
    <w:rsid w:val="00B978F6"/>
    <w:rsid w:val="00BA050C"/>
    <w:rsid w:val="00BA1F0A"/>
    <w:rsid w:val="00BA221B"/>
    <w:rsid w:val="00BA36F2"/>
    <w:rsid w:val="00BA3885"/>
    <w:rsid w:val="00BA39E9"/>
    <w:rsid w:val="00BA577A"/>
    <w:rsid w:val="00BA6165"/>
    <w:rsid w:val="00BA65B5"/>
    <w:rsid w:val="00BA6866"/>
    <w:rsid w:val="00BA73EB"/>
    <w:rsid w:val="00BB00EF"/>
    <w:rsid w:val="00BB0B7C"/>
    <w:rsid w:val="00BB2372"/>
    <w:rsid w:val="00BB244F"/>
    <w:rsid w:val="00BB28B4"/>
    <w:rsid w:val="00BB2BE4"/>
    <w:rsid w:val="00BB2D87"/>
    <w:rsid w:val="00BB2FA6"/>
    <w:rsid w:val="00BB31A7"/>
    <w:rsid w:val="00BB3C5A"/>
    <w:rsid w:val="00BB40DC"/>
    <w:rsid w:val="00BB46C2"/>
    <w:rsid w:val="00BB4DC2"/>
    <w:rsid w:val="00BB5073"/>
    <w:rsid w:val="00BB60E6"/>
    <w:rsid w:val="00BB620B"/>
    <w:rsid w:val="00BB66BF"/>
    <w:rsid w:val="00BB6855"/>
    <w:rsid w:val="00BB6892"/>
    <w:rsid w:val="00BB6FB6"/>
    <w:rsid w:val="00BB7CE8"/>
    <w:rsid w:val="00BC0AA6"/>
    <w:rsid w:val="00BC123F"/>
    <w:rsid w:val="00BC45C7"/>
    <w:rsid w:val="00BC4FA7"/>
    <w:rsid w:val="00BC562F"/>
    <w:rsid w:val="00BC5690"/>
    <w:rsid w:val="00BC6172"/>
    <w:rsid w:val="00BC63CB"/>
    <w:rsid w:val="00BC6475"/>
    <w:rsid w:val="00BC65E1"/>
    <w:rsid w:val="00BC700A"/>
    <w:rsid w:val="00BC7C29"/>
    <w:rsid w:val="00BC7E59"/>
    <w:rsid w:val="00BD0DB8"/>
    <w:rsid w:val="00BD22AE"/>
    <w:rsid w:val="00BD365E"/>
    <w:rsid w:val="00BD37AE"/>
    <w:rsid w:val="00BD3FED"/>
    <w:rsid w:val="00BD55DD"/>
    <w:rsid w:val="00BD6E62"/>
    <w:rsid w:val="00BD77BC"/>
    <w:rsid w:val="00BD7800"/>
    <w:rsid w:val="00BE0C31"/>
    <w:rsid w:val="00BE0E6B"/>
    <w:rsid w:val="00BE1416"/>
    <w:rsid w:val="00BE1E78"/>
    <w:rsid w:val="00BE237C"/>
    <w:rsid w:val="00BE32E9"/>
    <w:rsid w:val="00BE3761"/>
    <w:rsid w:val="00BE47C9"/>
    <w:rsid w:val="00BE5C03"/>
    <w:rsid w:val="00BE61FB"/>
    <w:rsid w:val="00BE6D9E"/>
    <w:rsid w:val="00BE6E08"/>
    <w:rsid w:val="00BE7315"/>
    <w:rsid w:val="00BE7FC0"/>
    <w:rsid w:val="00BF00AF"/>
    <w:rsid w:val="00BF033F"/>
    <w:rsid w:val="00BF1600"/>
    <w:rsid w:val="00BF294F"/>
    <w:rsid w:val="00BF2D61"/>
    <w:rsid w:val="00BF2DFF"/>
    <w:rsid w:val="00BF3309"/>
    <w:rsid w:val="00BF3458"/>
    <w:rsid w:val="00BF3E23"/>
    <w:rsid w:val="00BF53F0"/>
    <w:rsid w:val="00BF5433"/>
    <w:rsid w:val="00BF617C"/>
    <w:rsid w:val="00BF63D7"/>
    <w:rsid w:val="00BF733A"/>
    <w:rsid w:val="00BF7452"/>
    <w:rsid w:val="00C01CF7"/>
    <w:rsid w:val="00C0247E"/>
    <w:rsid w:val="00C0283D"/>
    <w:rsid w:val="00C056E8"/>
    <w:rsid w:val="00C0641D"/>
    <w:rsid w:val="00C10030"/>
    <w:rsid w:val="00C10542"/>
    <w:rsid w:val="00C11597"/>
    <w:rsid w:val="00C11EF0"/>
    <w:rsid w:val="00C12D9F"/>
    <w:rsid w:val="00C14BC1"/>
    <w:rsid w:val="00C15E30"/>
    <w:rsid w:val="00C163EA"/>
    <w:rsid w:val="00C16516"/>
    <w:rsid w:val="00C16579"/>
    <w:rsid w:val="00C16B4F"/>
    <w:rsid w:val="00C16E6B"/>
    <w:rsid w:val="00C17BCB"/>
    <w:rsid w:val="00C20622"/>
    <w:rsid w:val="00C20A03"/>
    <w:rsid w:val="00C20B9E"/>
    <w:rsid w:val="00C21BE9"/>
    <w:rsid w:val="00C220B8"/>
    <w:rsid w:val="00C2212B"/>
    <w:rsid w:val="00C2224D"/>
    <w:rsid w:val="00C2236E"/>
    <w:rsid w:val="00C22CED"/>
    <w:rsid w:val="00C23B09"/>
    <w:rsid w:val="00C248A9"/>
    <w:rsid w:val="00C25710"/>
    <w:rsid w:val="00C261E3"/>
    <w:rsid w:val="00C26A28"/>
    <w:rsid w:val="00C27CB5"/>
    <w:rsid w:val="00C30319"/>
    <w:rsid w:val="00C30489"/>
    <w:rsid w:val="00C309E7"/>
    <w:rsid w:val="00C30B82"/>
    <w:rsid w:val="00C31E86"/>
    <w:rsid w:val="00C32765"/>
    <w:rsid w:val="00C340CB"/>
    <w:rsid w:val="00C3466F"/>
    <w:rsid w:val="00C34888"/>
    <w:rsid w:val="00C35E01"/>
    <w:rsid w:val="00C35F93"/>
    <w:rsid w:val="00C35FA7"/>
    <w:rsid w:val="00C36C12"/>
    <w:rsid w:val="00C37B07"/>
    <w:rsid w:val="00C40825"/>
    <w:rsid w:val="00C40D69"/>
    <w:rsid w:val="00C41676"/>
    <w:rsid w:val="00C41E8A"/>
    <w:rsid w:val="00C422D9"/>
    <w:rsid w:val="00C4331E"/>
    <w:rsid w:val="00C4358F"/>
    <w:rsid w:val="00C43D5D"/>
    <w:rsid w:val="00C44FA0"/>
    <w:rsid w:val="00C455F6"/>
    <w:rsid w:val="00C45A53"/>
    <w:rsid w:val="00C4626F"/>
    <w:rsid w:val="00C46D58"/>
    <w:rsid w:val="00C50D49"/>
    <w:rsid w:val="00C5163D"/>
    <w:rsid w:val="00C51C60"/>
    <w:rsid w:val="00C52637"/>
    <w:rsid w:val="00C52D97"/>
    <w:rsid w:val="00C53C83"/>
    <w:rsid w:val="00C54440"/>
    <w:rsid w:val="00C54474"/>
    <w:rsid w:val="00C56088"/>
    <w:rsid w:val="00C57E25"/>
    <w:rsid w:val="00C6021A"/>
    <w:rsid w:val="00C63B12"/>
    <w:rsid w:val="00C642E7"/>
    <w:rsid w:val="00C6479B"/>
    <w:rsid w:val="00C64862"/>
    <w:rsid w:val="00C66E4C"/>
    <w:rsid w:val="00C67D48"/>
    <w:rsid w:val="00C70A8B"/>
    <w:rsid w:val="00C70EF3"/>
    <w:rsid w:val="00C714FC"/>
    <w:rsid w:val="00C71EE4"/>
    <w:rsid w:val="00C72210"/>
    <w:rsid w:val="00C729B5"/>
    <w:rsid w:val="00C72E20"/>
    <w:rsid w:val="00C73572"/>
    <w:rsid w:val="00C77D43"/>
    <w:rsid w:val="00C805C9"/>
    <w:rsid w:val="00C806F3"/>
    <w:rsid w:val="00C81D70"/>
    <w:rsid w:val="00C82320"/>
    <w:rsid w:val="00C82A9C"/>
    <w:rsid w:val="00C8391D"/>
    <w:rsid w:val="00C83999"/>
    <w:rsid w:val="00C8418B"/>
    <w:rsid w:val="00C841E9"/>
    <w:rsid w:val="00C8421D"/>
    <w:rsid w:val="00C853F7"/>
    <w:rsid w:val="00C8674C"/>
    <w:rsid w:val="00C8789E"/>
    <w:rsid w:val="00C878D0"/>
    <w:rsid w:val="00C90A63"/>
    <w:rsid w:val="00C9177C"/>
    <w:rsid w:val="00C921C1"/>
    <w:rsid w:val="00C923C0"/>
    <w:rsid w:val="00C929F6"/>
    <w:rsid w:val="00C9318F"/>
    <w:rsid w:val="00C93AA9"/>
    <w:rsid w:val="00C9419E"/>
    <w:rsid w:val="00C948C6"/>
    <w:rsid w:val="00C94A11"/>
    <w:rsid w:val="00C94E47"/>
    <w:rsid w:val="00C968FD"/>
    <w:rsid w:val="00C96B24"/>
    <w:rsid w:val="00C970CD"/>
    <w:rsid w:val="00C976DC"/>
    <w:rsid w:val="00CA086B"/>
    <w:rsid w:val="00CA0B08"/>
    <w:rsid w:val="00CA1FBF"/>
    <w:rsid w:val="00CA31BC"/>
    <w:rsid w:val="00CA3BDE"/>
    <w:rsid w:val="00CA43D8"/>
    <w:rsid w:val="00CA4620"/>
    <w:rsid w:val="00CA4799"/>
    <w:rsid w:val="00CA482A"/>
    <w:rsid w:val="00CA4DF5"/>
    <w:rsid w:val="00CA5256"/>
    <w:rsid w:val="00CA6F61"/>
    <w:rsid w:val="00CA7046"/>
    <w:rsid w:val="00CA729C"/>
    <w:rsid w:val="00CA7971"/>
    <w:rsid w:val="00CA7D48"/>
    <w:rsid w:val="00CB03EE"/>
    <w:rsid w:val="00CB1D98"/>
    <w:rsid w:val="00CB326B"/>
    <w:rsid w:val="00CB3C67"/>
    <w:rsid w:val="00CB3D0D"/>
    <w:rsid w:val="00CB4B0F"/>
    <w:rsid w:val="00CB524E"/>
    <w:rsid w:val="00CB5FD5"/>
    <w:rsid w:val="00CB6B0B"/>
    <w:rsid w:val="00CB6B2B"/>
    <w:rsid w:val="00CB6B2F"/>
    <w:rsid w:val="00CB6F97"/>
    <w:rsid w:val="00CB70B1"/>
    <w:rsid w:val="00CB71A4"/>
    <w:rsid w:val="00CB72B1"/>
    <w:rsid w:val="00CB7D8D"/>
    <w:rsid w:val="00CC022C"/>
    <w:rsid w:val="00CC065C"/>
    <w:rsid w:val="00CC1042"/>
    <w:rsid w:val="00CC180E"/>
    <w:rsid w:val="00CC2B7E"/>
    <w:rsid w:val="00CC3028"/>
    <w:rsid w:val="00CC3B27"/>
    <w:rsid w:val="00CC3EC0"/>
    <w:rsid w:val="00CC4C86"/>
    <w:rsid w:val="00CC75D0"/>
    <w:rsid w:val="00CD22CC"/>
    <w:rsid w:val="00CD2BB2"/>
    <w:rsid w:val="00CD2E77"/>
    <w:rsid w:val="00CD33B8"/>
    <w:rsid w:val="00CD3C10"/>
    <w:rsid w:val="00CD549F"/>
    <w:rsid w:val="00CD57B1"/>
    <w:rsid w:val="00CD5B89"/>
    <w:rsid w:val="00CD5FC7"/>
    <w:rsid w:val="00CE1C61"/>
    <w:rsid w:val="00CE2090"/>
    <w:rsid w:val="00CE25B0"/>
    <w:rsid w:val="00CE3140"/>
    <w:rsid w:val="00CE328B"/>
    <w:rsid w:val="00CE46DE"/>
    <w:rsid w:val="00CE7078"/>
    <w:rsid w:val="00CE7D8E"/>
    <w:rsid w:val="00CF1813"/>
    <w:rsid w:val="00CF1BF9"/>
    <w:rsid w:val="00CF2310"/>
    <w:rsid w:val="00CF25DE"/>
    <w:rsid w:val="00CF4A48"/>
    <w:rsid w:val="00CF5586"/>
    <w:rsid w:val="00CF68EF"/>
    <w:rsid w:val="00CF769B"/>
    <w:rsid w:val="00CF76E5"/>
    <w:rsid w:val="00D003A6"/>
    <w:rsid w:val="00D011A0"/>
    <w:rsid w:val="00D01251"/>
    <w:rsid w:val="00D020EE"/>
    <w:rsid w:val="00D02582"/>
    <w:rsid w:val="00D02D68"/>
    <w:rsid w:val="00D02F11"/>
    <w:rsid w:val="00D03479"/>
    <w:rsid w:val="00D03511"/>
    <w:rsid w:val="00D03DDA"/>
    <w:rsid w:val="00D073D4"/>
    <w:rsid w:val="00D0745F"/>
    <w:rsid w:val="00D07AFD"/>
    <w:rsid w:val="00D11A12"/>
    <w:rsid w:val="00D12364"/>
    <w:rsid w:val="00D12582"/>
    <w:rsid w:val="00D14882"/>
    <w:rsid w:val="00D1607E"/>
    <w:rsid w:val="00D1646A"/>
    <w:rsid w:val="00D170CE"/>
    <w:rsid w:val="00D21B0C"/>
    <w:rsid w:val="00D22BDF"/>
    <w:rsid w:val="00D22DFD"/>
    <w:rsid w:val="00D232FC"/>
    <w:rsid w:val="00D23456"/>
    <w:rsid w:val="00D23852"/>
    <w:rsid w:val="00D239C6"/>
    <w:rsid w:val="00D26672"/>
    <w:rsid w:val="00D271A1"/>
    <w:rsid w:val="00D277F1"/>
    <w:rsid w:val="00D27ED6"/>
    <w:rsid w:val="00D301DD"/>
    <w:rsid w:val="00D30506"/>
    <w:rsid w:val="00D3058E"/>
    <w:rsid w:val="00D3074D"/>
    <w:rsid w:val="00D3312E"/>
    <w:rsid w:val="00D33213"/>
    <w:rsid w:val="00D33B76"/>
    <w:rsid w:val="00D33BD6"/>
    <w:rsid w:val="00D35E30"/>
    <w:rsid w:val="00D375EA"/>
    <w:rsid w:val="00D40479"/>
    <w:rsid w:val="00D41AB8"/>
    <w:rsid w:val="00D43759"/>
    <w:rsid w:val="00D453D3"/>
    <w:rsid w:val="00D459DE"/>
    <w:rsid w:val="00D45BB6"/>
    <w:rsid w:val="00D45BE7"/>
    <w:rsid w:val="00D465CC"/>
    <w:rsid w:val="00D4732B"/>
    <w:rsid w:val="00D47B54"/>
    <w:rsid w:val="00D50CA4"/>
    <w:rsid w:val="00D50D13"/>
    <w:rsid w:val="00D51A26"/>
    <w:rsid w:val="00D52436"/>
    <w:rsid w:val="00D54155"/>
    <w:rsid w:val="00D54425"/>
    <w:rsid w:val="00D546DD"/>
    <w:rsid w:val="00D54FF1"/>
    <w:rsid w:val="00D55339"/>
    <w:rsid w:val="00D553B8"/>
    <w:rsid w:val="00D555EA"/>
    <w:rsid w:val="00D556CE"/>
    <w:rsid w:val="00D55F37"/>
    <w:rsid w:val="00D56AD5"/>
    <w:rsid w:val="00D56C96"/>
    <w:rsid w:val="00D56F34"/>
    <w:rsid w:val="00D577FE"/>
    <w:rsid w:val="00D57A53"/>
    <w:rsid w:val="00D60B90"/>
    <w:rsid w:val="00D60F80"/>
    <w:rsid w:val="00D6138E"/>
    <w:rsid w:val="00D619EE"/>
    <w:rsid w:val="00D61D25"/>
    <w:rsid w:val="00D6292A"/>
    <w:rsid w:val="00D63026"/>
    <w:rsid w:val="00D63506"/>
    <w:rsid w:val="00D63F3F"/>
    <w:rsid w:val="00D644C4"/>
    <w:rsid w:val="00D64784"/>
    <w:rsid w:val="00D64C34"/>
    <w:rsid w:val="00D64F29"/>
    <w:rsid w:val="00D669D0"/>
    <w:rsid w:val="00D66BB8"/>
    <w:rsid w:val="00D67207"/>
    <w:rsid w:val="00D6763B"/>
    <w:rsid w:val="00D67C6F"/>
    <w:rsid w:val="00D700DF"/>
    <w:rsid w:val="00D707E4"/>
    <w:rsid w:val="00D70F01"/>
    <w:rsid w:val="00D70FED"/>
    <w:rsid w:val="00D71468"/>
    <w:rsid w:val="00D71542"/>
    <w:rsid w:val="00D72331"/>
    <w:rsid w:val="00D7243E"/>
    <w:rsid w:val="00D72B40"/>
    <w:rsid w:val="00D72BC9"/>
    <w:rsid w:val="00D73309"/>
    <w:rsid w:val="00D73489"/>
    <w:rsid w:val="00D73DC0"/>
    <w:rsid w:val="00D75687"/>
    <w:rsid w:val="00D75CA9"/>
    <w:rsid w:val="00D7788A"/>
    <w:rsid w:val="00D8032E"/>
    <w:rsid w:val="00D803E1"/>
    <w:rsid w:val="00D820D3"/>
    <w:rsid w:val="00D826C8"/>
    <w:rsid w:val="00D838DA"/>
    <w:rsid w:val="00D83BEE"/>
    <w:rsid w:val="00D83CE3"/>
    <w:rsid w:val="00D8412C"/>
    <w:rsid w:val="00D8456B"/>
    <w:rsid w:val="00D85146"/>
    <w:rsid w:val="00D86406"/>
    <w:rsid w:val="00D86CA0"/>
    <w:rsid w:val="00D874D4"/>
    <w:rsid w:val="00D87700"/>
    <w:rsid w:val="00D87FAA"/>
    <w:rsid w:val="00D903AE"/>
    <w:rsid w:val="00D90677"/>
    <w:rsid w:val="00D91B31"/>
    <w:rsid w:val="00D92136"/>
    <w:rsid w:val="00D924B4"/>
    <w:rsid w:val="00D92AAC"/>
    <w:rsid w:val="00D92FAF"/>
    <w:rsid w:val="00D930EE"/>
    <w:rsid w:val="00D93EF1"/>
    <w:rsid w:val="00D95B99"/>
    <w:rsid w:val="00D96916"/>
    <w:rsid w:val="00D96A9B"/>
    <w:rsid w:val="00D96CCF"/>
    <w:rsid w:val="00D97610"/>
    <w:rsid w:val="00DA02FF"/>
    <w:rsid w:val="00DA15BF"/>
    <w:rsid w:val="00DA15D9"/>
    <w:rsid w:val="00DA3248"/>
    <w:rsid w:val="00DA34FA"/>
    <w:rsid w:val="00DA3839"/>
    <w:rsid w:val="00DA3AB3"/>
    <w:rsid w:val="00DA4B1C"/>
    <w:rsid w:val="00DA5211"/>
    <w:rsid w:val="00DA5417"/>
    <w:rsid w:val="00DA644A"/>
    <w:rsid w:val="00DA7329"/>
    <w:rsid w:val="00DA7FAD"/>
    <w:rsid w:val="00DB0470"/>
    <w:rsid w:val="00DB09A0"/>
    <w:rsid w:val="00DB15F8"/>
    <w:rsid w:val="00DB3E0F"/>
    <w:rsid w:val="00DB459C"/>
    <w:rsid w:val="00DB470B"/>
    <w:rsid w:val="00DB4BE5"/>
    <w:rsid w:val="00DB6122"/>
    <w:rsid w:val="00DB664C"/>
    <w:rsid w:val="00DB6E38"/>
    <w:rsid w:val="00DB6ECF"/>
    <w:rsid w:val="00DB708C"/>
    <w:rsid w:val="00DB7C5F"/>
    <w:rsid w:val="00DC03C3"/>
    <w:rsid w:val="00DC09C7"/>
    <w:rsid w:val="00DC107B"/>
    <w:rsid w:val="00DC2A5C"/>
    <w:rsid w:val="00DC48ED"/>
    <w:rsid w:val="00DC4C12"/>
    <w:rsid w:val="00DC65B5"/>
    <w:rsid w:val="00DC6715"/>
    <w:rsid w:val="00DD03DA"/>
    <w:rsid w:val="00DD0AD6"/>
    <w:rsid w:val="00DD1A25"/>
    <w:rsid w:val="00DD2840"/>
    <w:rsid w:val="00DD336A"/>
    <w:rsid w:val="00DD34CA"/>
    <w:rsid w:val="00DD3C0D"/>
    <w:rsid w:val="00DD4C35"/>
    <w:rsid w:val="00DD4DDB"/>
    <w:rsid w:val="00DD4DE0"/>
    <w:rsid w:val="00DD4E03"/>
    <w:rsid w:val="00DD550B"/>
    <w:rsid w:val="00DD5A14"/>
    <w:rsid w:val="00DD6F05"/>
    <w:rsid w:val="00DD6F9C"/>
    <w:rsid w:val="00DD7200"/>
    <w:rsid w:val="00DD7928"/>
    <w:rsid w:val="00DD7B88"/>
    <w:rsid w:val="00DE03AF"/>
    <w:rsid w:val="00DE0EE0"/>
    <w:rsid w:val="00DE124F"/>
    <w:rsid w:val="00DE17D0"/>
    <w:rsid w:val="00DE1BC5"/>
    <w:rsid w:val="00DE1C78"/>
    <w:rsid w:val="00DE1C9C"/>
    <w:rsid w:val="00DE21C6"/>
    <w:rsid w:val="00DE27E0"/>
    <w:rsid w:val="00DE3D23"/>
    <w:rsid w:val="00DE4BE7"/>
    <w:rsid w:val="00DE5A09"/>
    <w:rsid w:val="00DE5CDB"/>
    <w:rsid w:val="00DE5F45"/>
    <w:rsid w:val="00DE6A8E"/>
    <w:rsid w:val="00DE72D5"/>
    <w:rsid w:val="00DE7E30"/>
    <w:rsid w:val="00DF0190"/>
    <w:rsid w:val="00DF04F7"/>
    <w:rsid w:val="00DF0E65"/>
    <w:rsid w:val="00DF17F3"/>
    <w:rsid w:val="00DF235B"/>
    <w:rsid w:val="00DF32E3"/>
    <w:rsid w:val="00DF391B"/>
    <w:rsid w:val="00DF5E18"/>
    <w:rsid w:val="00DF6A39"/>
    <w:rsid w:val="00DF6D30"/>
    <w:rsid w:val="00E021EE"/>
    <w:rsid w:val="00E022A4"/>
    <w:rsid w:val="00E022CD"/>
    <w:rsid w:val="00E023BE"/>
    <w:rsid w:val="00E02B49"/>
    <w:rsid w:val="00E0355D"/>
    <w:rsid w:val="00E036E9"/>
    <w:rsid w:val="00E044AC"/>
    <w:rsid w:val="00E05007"/>
    <w:rsid w:val="00E054EB"/>
    <w:rsid w:val="00E05E1A"/>
    <w:rsid w:val="00E05F42"/>
    <w:rsid w:val="00E0656A"/>
    <w:rsid w:val="00E078AD"/>
    <w:rsid w:val="00E103F2"/>
    <w:rsid w:val="00E11061"/>
    <w:rsid w:val="00E1114A"/>
    <w:rsid w:val="00E120C3"/>
    <w:rsid w:val="00E1340E"/>
    <w:rsid w:val="00E13772"/>
    <w:rsid w:val="00E143FD"/>
    <w:rsid w:val="00E149D3"/>
    <w:rsid w:val="00E15884"/>
    <w:rsid w:val="00E164B6"/>
    <w:rsid w:val="00E16C64"/>
    <w:rsid w:val="00E1766B"/>
    <w:rsid w:val="00E17937"/>
    <w:rsid w:val="00E200F3"/>
    <w:rsid w:val="00E22B61"/>
    <w:rsid w:val="00E22B82"/>
    <w:rsid w:val="00E22DFF"/>
    <w:rsid w:val="00E23064"/>
    <w:rsid w:val="00E23479"/>
    <w:rsid w:val="00E26B74"/>
    <w:rsid w:val="00E27300"/>
    <w:rsid w:val="00E30242"/>
    <w:rsid w:val="00E3049D"/>
    <w:rsid w:val="00E31007"/>
    <w:rsid w:val="00E31440"/>
    <w:rsid w:val="00E324C1"/>
    <w:rsid w:val="00E33099"/>
    <w:rsid w:val="00E33697"/>
    <w:rsid w:val="00E35CC2"/>
    <w:rsid w:val="00E36502"/>
    <w:rsid w:val="00E36CC2"/>
    <w:rsid w:val="00E3782F"/>
    <w:rsid w:val="00E40294"/>
    <w:rsid w:val="00E40343"/>
    <w:rsid w:val="00E40F67"/>
    <w:rsid w:val="00E41020"/>
    <w:rsid w:val="00E419CA"/>
    <w:rsid w:val="00E41B2A"/>
    <w:rsid w:val="00E41E00"/>
    <w:rsid w:val="00E421E5"/>
    <w:rsid w:val="00E42CEC"/>
    <w:rsid w:val="00E43356"/>
    <w:rsid w:val="00E43621"/>
    <w:rsid w:val="00E4382B"/>
    <w:rsid w:val="00E4392F"/>
    <w:rsid w:val="00E43D68"/>
    <w:rsid w:val="00E45618"/>
    <w:rsid w:val="00E457A0"/>
    <w:rsid w:val="00E46257"/>
    <w:rsid w:val="00E46B96"/>
    <w:rsid w:val="00E47541"/>
    <w:rsid w:val="00E47D21"/>
    <w:rsid w:val="00E5063C"/>
    <w:rsid w:val="00E51900"/>
    <w:rsid w:val="00E51FC2"/>
    <w:rsid w:val="00E52A54"/>
    <w:rsid w:val="00E52BCE"/>
    <w:rsid w:val="00E53491"/>
    <w:rsid w:val="00E53E92"/>
    <w:rsid w:val="00E5491A"/>
    <w:rsid w:val="00E54AA0"/>
    <w:rsid w:val="00E56561"/>
    <w:rsid w:val="00E57721"/>
    <w:rsid w:val="00E6077A"/>
    <w:rsid w:val="00E613A6"/>
    <w:rsid w:val="00E62786"/>
    <w:rsid w:val="00E62EA2"/>
    <w:rsid w:val="00E64BD2"/>
    <w:rsid w:val="00E669CB"/>
    <w:rsid w:val="00E67019"/>
    <w:rsid w:val="00E674FF"/>
    <w:rsid w:val="00E67529"/>
    <w:rsid w:val="00E67A3D"/>
    <w:rsid w:val="00E67B12"/>
    <w:rsid w:val="00E67C56"/>
    <w:rsid w:val="00E70BD7"/>
    <w:rsid w:val="00E71291"/>
    <w:rsid w:val="00E71561"/>
    <w:rsid w:val="00E718B3"/>
    <w:rsid w:val="00E71B66"/>
    <w:rsid w:val="00E71EFD"/>
    <w:rsid w:val="00E726ED"/>
    <w:rsid w:val="00E72833"/>
    <w:rsid w:val="00E73A9E"/>
    <w:rsid w:val="00E73D29"/>
    <w:rsid w:val="00E7405A"/>
    <w:rsid w:val="00E742C2"/>
    <w:rsid w:val="00E74E0B"/>
    <w:rsid w:val="00E74FFE"/>
    <w:rsid w:val="00E75185"/>
    <w:rsid w:val="00E7654C"/>
    <w:rsid w:val="00E773D9"/>
    <w:rsid w:val="00E81599"/>
    <w:rsid w:val="00E81B57"/>
    <w:rsid w:val="00E82033"/>
    <w:rsid w:val="00E82497"/>
    <w:rsid w:val="00E82A3A"/>
    <w:rsid w:val="00E8328E"/>
    <w:rsid w:val="00E833BC"/>
    <w:rsid w:val="00E837AE"/>
    <w:rsid w:val="00E869AC"/>
    <w:rsid w:val="00E86F65"/>
    <w:rsid w:val="00E877D3"/>
    <w:rsid w:val="00E902DB"/>
    <w:rsid w:val="00E91FCA"/>
    <w:rsid w:val="00E92D85"/>
    <w:rsid w:val="00E9337C"/>
    <w:rsid w:val="00E936D8"/>
    <w:rsid w:val="00E942EE"/>
    <w:rsid w:val="00E9450C"/>
    <w:rsid w:val="00E96B15"/>
    <w:rsid w:val="00EA07A9"/>
    <w:rsid w:val="00EA0A6D"/>
    <w:rsid w:val="00EA120A"/>
    <w:rsid w:val="00EA2A2C"/>
    <w:rsid w:val="00EA3988"/>
    <w:rsid w:val="00EA425A"/>
    <w:rsid w:val="00EA43A0"/>
    <w:rsid w:val="00EA50D5"/>
    <w:rsid w:val="00EA51F7"/>
    <w:rsid w:val="00EA53C4"/>
    <w:rsid w:val="00EA566D"/>
    <w:rsid w:val="00EA7276"/>
    <w:rsid w:val="00EA7A96"/>
    <w:rsid w:val="00EA7DCB"/>
    <w:rsid w:val="00EB0DF8"/>
    <w:rsid w:val="00EB0F43"/>
    <w:rsid w:val="00EB11BE"/>
    <w:rsid w:val="00EB17BC"/>
    <w:rsid w:val="00EB19CF"/>
    <w:rsid w:val="00EB21D9"/>
    <w:rsid w:val="00EB2EDF"/>
    <w:rsid w:val="00EB45D8"/>
    <w:rsid w:val="00EB474E"/>
    <w:rsid w:val="00EB49E4"/>
    <w:rsid w:val="00EB5AB9"/>
    <w:rsid w:val="00EC0F40"/>
    <w:rsid w:val="00EC2003"/>
    <w:rsid w:val="00EC2604"/>
    <w:rsid w:val="00EC4E5F"/>
    <w:rsid w:val="00EC568F"/>
    <w:rsid w:val="00EC65B8"/>
    <w:rsid w:val="00EC7BE5"/>
    <w:rsid w:val="00ED0472"/>
    <w:rsid w:val="00ED09B2"/>
    <w:rsid w:val="00ED1064"/>
    <w:rsid w:val="00ED1B2B"/>
    <w:rsid w:val="00ED37BB"/>
    <w:rsid w:val="00ED3C28"/>
    <w:rsid w:val="00ED4B5D"/>
    <w:rsid w:val="00ED4C73"/>
    <w:rsid w:val="00ED4CAB"/>
    <w:rsid w:val="00ED53BB"/>
    <w:rsid w:val="00ED53C4"/>
    <w:rsid w:val="00ED58E4"/>
    <w:rsid w:val="00ED60CB"/>
    <w:rsid w:val="00ED6890"/>
    <w:rsid w:val="00ED6B0E"/>
    <w:rsid w:val="00ED6E5E"/>
    <w:rsid w:val="00ED79B3"/>
    <w:rsid w:val="00EE0636"/>
    <w:rsid w:val="00EE10B8"/>
    <w:rsid w:val="00EE3FC7"/>
    <w:rsid w:val="00EE4031"/>
    <w:rsid w:val="00EE48D0"/>
    <w:rsid w:val="00EE4932"/>
    <w:rsid w:val="00EE4AC9"/>
    <w:rsid w:val="00EE55E0"/>
    <w:rsid w:val="00EE5EE4"/>
    <w:rsid w:val="00EE64B7"/>
    <w:rsid w:val="00EE67D3"/>
    <w:rsid w:val="00EE6C88"/>
    <w:rsid w:val="00EE7AD4"/>
    <w:rsid w:val="00EE7AE2"/>
    <w:rsid w:val="00EF34FA"/>
    <w:rsid w:val="00EF38EC"/>
    <w:rsid w:val="00EF4520"/>
    <w:rsid w:val="00EF4702"/>
    <w:rsid w:val="00EF4BA5"/>
    <w:rsid w:val="00EF4E4F"/>
    <w:rsid w:val="00EF652E"/>
    <w:rsid w:val="00F0025F"/>
    <w:rsid w:val="00F03697"/>
    <w:rsid w:val="00F03CDF"/>
    <w:rsid w:val="00F050A2"/>
    <w:rsid w:val="00F0513F"/>
    <w:rsid w:val="00F05C94"/>
    <w:rsid w:val="00F0648A"/>
    <w:rsid w:val="00F06DBF"/>
    <w:rsid w:val="00F07329"/>
    <w:rsid w:val="00F101A2"/>
    <w:rsid w:val="00F10562"/>
    <w:rsid w:val="00F10E55"/>
    <w:rsid w:val="00F11744"/>
    <w:rsid w:val="00F11E6E"/>
    <w:rsid w:val="00F12046"/>
    <w:rsid w:val="00F12A08"/>
    <w:rsid w:val="00F12ED9"/>
    <w:rsid w:val="00F1317E"/>
    <w:rsid w:val="00F13A8A"/>
    <w:rsid w:val="00F13ED0"/>
    <w:rsid w:val="00F15346"/>
    <w:rsid w:val="00F15425"/>
    <w:rsid w:val="00F1689C"/>
    <w:rsid w:val="00F1704F"/>
    <w:rsid w:val="00F20D34"/>
    <w:rsid w:val="00F228E9"/>
    <w:rsid w:val="00F23612"/>
    <w:rsid w:val="00F244E6"/>
    <w:rsid w:val="00F25DC2"/>
    <w:rsid w:val="00F261BB"/>
    <w:rsid w:val="00F26D43"/>
    <w:rsid w:val="00F2747A"/>
    <w:rsid w:val="00F30908"/>
    <w:rsid w:val="00F30FD2"/>
    <w:rsid w:val="00F31208"/>
    <w:rsid w:val="00F3198C"/>
    <w:rsid w:val="00F32A1B"/>
    <w:rsid w:val="00F3302B"/>
    <w:rsid w:val="00F33519"/>
    <w:rsid w:val="00F33888"/>
    <w:rsid w:val="00F338FF"/>
    <w:rsid w:val="00F341DB"/>
    <w:rsid w:val="00F343A8"/>
    <w:rsid w:val="00F34ADC"/>
    <w:rsid w:val="00F359C1"/>
    <w:rsid w:val="00F359D0"/>
    <w:rsid w:val="00F365CE"/>
    <w:rsid w:val="00F36A9D"/>
    <w:rsid w:val="00F36FDF"/>
    <w:rsid w:val="00F3721E"/>
    <w:rsid w:val="00F401DA"/>
    <w:rsid w:val="00F408AB"/>
    <w:rsid w:val="00F40B19"/>
    <w:rsid w:val="00F40C2F"/>
    <w:rsid w:val="00F41157"/>
    <w:rsid w:val="00F42FBE"/>
    <w:rsid w:val="00F433EA"/>
    <w:rsid w:val="00F44EE6"/>
    <w:rsid w:val="00F4615E"/>
    <w:rsid w:val="00F4666F"/>
    <w:rsid w:val="00F476B8"/>
    <w:rsid w:val="00F47D4D"/>
    <w:rsid w:val="00F500AE"/>
    <w:rsid w:val="00F50173"/>
    <w:rsid w:val="00F510E1"/>
    <w:rsid w:val="00F52942"/>
    <w:rsid w:val="00F52A39"/>
    <w:rsid w:val="00F532AA"/>
    <w:rsid w:val="00F535F0"/>
    <w:rsid w:val="00F54002"/>
    <w:rsid w:val="00F55916"/>
    <w:rsid w:val="00F5621E"/>
    <w:rsid w:val="00F56B57"/>
    <w:rsid w:val="00F6250B"/>
    <w:rsid w:val="00F62869"/>
    <w:rsid w:val="00F62D33"/>
    <w:rsid w:val="00F62DBC"/>
    <w:rsid w:val="00F62EA6"/>
    <w:rsid w:val="00F6339A"/>
    <w:rsid w:val="00F63734"/>
    <w:rsid w:val="00F63FE6"/>
    <w:rsid w:val="00F6407D"/>
    <w:rsid w:val="00F674CA"/>
    <w:rsid w:val="00F702AB"/>
    <w:rsid w:val="00F716F3"/>
    <w:rsid w:val="00F72A6B"/>
    <w:rsid w:val="00F73195"/>
    <w:rsid w:val="00F739D5"/>
    <w:rsid w:val="00F7614B"/>
    <w:rsid w:val="00F76923"/>
    <w:rsid w:val="00F76E1E"/>
    <w:rsid w:val="00F76E8F"/>
    <w:rsid w:val="00F770A3"/>
    <w:rsid w:val="00F773B9"/>
    <w:rsid w:val="00F777FA"/>
    <w:rsid w:val="00F77E71"/>
    <w:rsid w:val="00F80038"/>
    <w:rsid w:val="00F802E2"/>
    <w:rsid w:val="00F80CC3"/>
    <w:rsid w:val="00F815DB"/>
    <w:rsid w:val="00F81A2A"/>
    <w:rsid w:val="00F81FAC"/>
    <w:rsid w:val="00F83D33"/>
    <w:rsid w:val="00F83D4B"/>
    <w:rsid w:val="00F849FD"/>
    <w:rsid w:val="00F85BBB"/>
    <w:rsid w:val="00F86856"/>
    <w:rsid w:val="00F87645"/>
    <w:rsid w:val="00F87967"/>
    <w:rsid w:val="00F9023B"/>
    <w:rsid w:val="00F9169E"/>
    <w:rsid w:val="00F91705"/>
    <w:rsid w:val="00F918D3"/>
    <w:rsid w:val="00F91CB0"/>
    <w:rsid w:val="00F9253F"/>
    <w:rsid w:val="00F9277D"/>
    <w:rsid w:val="00F938FC"/>
    <w:rsid w:val="00F9450F"/>
    <w:rsid w:val="00F95AA6"/>
    <w:rsid w:val="00F9730D"/>
    <w:rsid w:val="00FA0C6E"/>
    <w:rsid w:val="00FA14A9"/>
    <w:rsid w:val="00FA26B6"/>
    <w:rsid w:val="00FA335D"/>
    <w:rsid w:val="00FA6908"/>
    <w:rsid w:val="00FA74DD"/>
    <w:rsid w:val="00FB0086"/>
    <w:rsid w:val="00FB19B6"/>
    <w:rsid w:val="00FB1DBE"/>
    <w:rsid w:val="00FB2358"/>
    <w:rsid w:val="00FB2A7C"/>
    <w:rsid w:val="00FB3252"/>
    <w:rsid w:val="00FB4202"/>
    <w:rsid w:val="00FB4DEA"/>
    <w:rsid w:val="00FB54FB"/>
    <w:rsid w:val="00FB5773"/>
    <w:rsid w:val="00FB5E68"/>
    <w:rsid w:val="00FB6517"/>
    <w:rsid w:val="00FB696C"/>
    <w:rsid w:val="00FB78D4"/>
    <w:rsid w:val="00FC07DF"/>
    <w:rsid w:val="00FC0C0D"/>
    <w:rsid w:val="00FC282B"/>
    <w:rsid w:val="00FC2DE0"/>
    <w:rsid w:val="00FC336C"/>
    <w:rsid w:val="00FC35D0"/>
    <w:rsid w:val="00FC47D7"/>
    <w:rsid w:val="00FC5286"/>
    <w:rsid w:val="00FC5710"/>
    <w:rsid w:val="00FC5C76"/>
    <w:rsid w:val="00FC5D41"/>
    <w:rsid w:val="00FC5DFA"/>
    <w:rsid w:val="00FC662A"/>
    <w:rsid w:val="00FC695E"/>
    <w:rsid w:val="00FC69B8"/>
    <w:rsid w:val="00FC6B6F"/>
    <w:rsid w:val="00FD0BBF"/>
    <w:rsid w:val="00FD2E08"/>
    <w:rsid w:val="00FD2FAC"/>
    <w:rsid w:val="00FD300A"/>
    <w:rsid w:val="00FD30A7"/>
    <w:rsid w:val="00FD3F25"/>
    <w:rsid w:val="00FD5E12"/>
    <w:rsid w:val="00FD6FAE"/>
    <w:rsid w:val="00FD7ED7"/>
    <w:rsid w:val="00FE0192"/>
    <w:rsid w:val="00FE0C07"/>
    <w:rsid w:val="00FE0CD0"/>
    <w:rsid w:val="00FE0EE6"/>
    <w:rsid w:val="00FE158A"/>
    <w:rsid w:val="00FE1B1A"/>
    <w:rsid w:val="00FE1FDB"/>
    <w:rsid w:val="00FE3036"/>
    <w:rsid w:val="00FE3142"/>
    <w:rsid w:val="00FE3818"/>
    <w:rsid w:val="00FE3E50"/>
    <w:rsid w:val="00FE4619"/>
    <w:rsid w:val="00FE56AD"/>
    <w:rsid w:val="00FE5BCD"/>
    <w:rsid w:val="00FE5EFF"/>
    <w:rsid w:val="00FE60AA"/>
    <w:rsid w:val="00FE67B7"/>
    <w:rsid w:val="00FE7A1E"/>
    <w:rsid w:val="00FE7B62"/>
    <w:rsid w:val="00FE7DC8"/>
    <w:rsid w:val="00FF04B6"/>
    <w:rsid w:val="00FF0FB6"/>
    <w:rsid w:val="00FF142B"/>
    <w:rsid w:val="00FF1612"/>
    <w:rsid w:val="00FF2D73"/>
    <w:rsid w:val="00FF30A8"/>
    <w:rsid w:val="00FF3B56"/>
    <w:rsid w:val="00FF4118"/>
    <w:rsid w:val="00FF438A"/>
    <w:rsid w:val="00FF47A4"/>
    <w:rsid w:val="00FF530E"/>
    <w:rsid w:val="00FF6326"/>
    <w:rsid w:val="00FF6412"/>
    <w:rsid w:val="00FF7CBA"/>
    <w:rsid w:val="00FF7C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10</Pages>
  <Words>5015</Words>
  <Characters>29751</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Berkshire Health Systems</Company>
  <LinksUpToDate>false</LinksUpToDate>
  <CharactersWithSpaces>34697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Prescott Martha</dc:creator>
  <cp:lastModifiedBy>Prescott Martha</cp:lastModifiedBy>
  <cp:revision>1</cp:revision>
  <dcterms:created xsi:type="dcterms:W3CDTF">2016-09-01T16:46:00Z</dcterms:created>
  <dcterms:modified xsi:type="dcterms:W3CDTF">2016-09-01T16:59:00Z</dcterms:modified>
</cp:coreProperties>
</file>